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F29DE4">
      <w:pPr>
        <w:jc w:val="center"/>
        <w:rPr>
          <w:rFonts w:ascii="宋体" w:hAnsi="宋体" w:eastAsia="宋体" w:cs="Arial"/>
          <w:b/>
          <w:bCs/>
          <w:color w:val="auto"/>
          <w:sz w:val="36"/>
          <w:szCs w:val="36"/>
          <w:highlight w:val="none"/>
        </w:rPr>
      </w:pPr>
    </w:p>
    <w:p w14:paraId="54C7DC63">
      <w:pPr>
        <w:jc w:val="center"/>
        <w:rPr>
          <w:rFonts w:ascii="宋体" w:hAnsi="宋体" w:eastAsia="宋体" w:cs="Arial"/>
          <w:b/>
          <w:bCs/>
          <w:color w:val="auto"/>
          <w:sz w:val="36"/>
          <w:szCs w:val="36"/>
          <w:highlight w:val="none"/>
        </w:rPr>
      </w:pPr>
    </w:p>
    <w:p w14:paraId="7C9ED77A">
      <w:pPr>
        <w:jc w:val="center"/>
        <w:rPr>
          <w:rFonts w:ascii="宋体" w:hAnsi="宋体" w:eastAsia="宋体" w:cs="Arial"/>
          <w:b/>
          <w:bCs/>
          <w:color w:val="auto"/>
          <w:sz w:val="36"/>
          <w:szCs w:val="36"/>
          <w:highlight w:val="none"/>
        </w:rPr>
      </w:pPr>
    </w:p>
    <w:p w14:paraId="258CA5A5">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国家非物质文化遗产保护资金项目支出绩效</w:t>
      </w:r>
      <w:bookmarkStart w:id="14" w:name="_GoBack"/>
      <w:bookmarkEnd w:id="14"/>
      <w:r>
        <w:rPr>
          <w:rFonts w:hint="eastAsia" w:ascii="方正小标宋简体" w:hAnsi="方正小标宋简体" w:eastAsia="方正小标宋简体" w:cs="方正小标宋简体"/>
          <w:color w:val="auto"/>
          <w:sz w:val="52"/>
          <w:szCs w:val="52"/>
          <w:highlight w:val="none"/>
          <w:lang w:val="en-US" w:eastAsia="zh-CN"/>
        </w:rPr>
        <w:t>评价报告</w:t>
      </w:r>
    </w:p>
    <w:p w14:paraId="1AFE764A">
      <w:pPr>
        <w:pStyle w:val="4"/>
        <w:rPr>
          <w:rFonts w:hint="eastAsia"/>
          <w:color w:val="auto"/>
          <w:highlight w:val="none"/>
          <w:lang w:val="en-US" w:eastAsia="zh-CN"/>
        </w:rPr>
      </w:pPr>
    </w:p>
    <w:p w14:paraId="61917D57">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17B464ED">
      <w:pPr>
        <w:spacing w:line="240" w:lineRule="atLeast"/>
        <w:jc w:val="center"/>
        <w:rPr>
          <w:rFonts w:ascii="宋体" w:hAnsi="宋体" w:eastAsia="宋体" w:cs="Arial"/>
          <w:b/>
          <w:bCs/>
          <w:color w:val="auto"/>
          <w:sz w:val="36"/>
          <w:szCs w:val="36"/>
          <w:highlight w:val="none"/>
        </w:rPr>
      </w:pPr>
    </w:p>
    <w:p w14:paraId="42CC0B30">
      <w:pPr>
        <w:spacing w:line="240" w:lineRule="atLeast"/>
        <w:ind w:left="0" w:leftChars="0" w:firstLine="0" w:firstLineChars="0"/>
        <w:jc w:val="both"/>
        <w:rPr>
          <w:rFonts w:ascii="宋体" w:hAnsi="宋体" w:eastAsia="宋体" w:cs="Arial"/>
          <w:b/>
          <w:bCs/>
          <w:color w:val="auto"/>
          <w:sz w:val="36"/>
          <w:szCs w:val="36"/>
          <w:highlight w:val="none"/>
        </w:rPr>
      </w:pPr>
    </w:p>
    <w:p w14:paraId="0AA85B85">
      <w:pPr>
        <w:spacing w:line="240" w:lineRule="atLeast"/>
        <w:jc w:val="center"/>
        <w:rPr>
          <w:rFonts w:ascii="宋体" w:hAnsi="宋体" w:eastAsia="宋体" w:cs="Arial"/>
          <w:b/>
          <w:bCs/>
          <w:color w:val="auto"/>
          <w:sz w:val="36"/>
          <w:szCs w:val="36"/>
          <w:highlight w:val="none"/>
        </w:rPr>
      </w:pPr>
    </w:p>
    <w:p w14:paraId="3DEC52D0">
      <w:pPr>
        <w:spacing w:line="240" w:lineRule="auto"/>
        <w:jc w:val="center"/>
        <w:rPr>
          <w:rFonts w:ascii="宋体" w:hAnsi="宋体" w:eastAsia="宋体" w:cs="Arial"/>
          <w:b/>
          <w:bCs/>
          <w:color w:val="auto"/>
          <w:sz w:val="36"/>
          <w:szCs w:val="36"/>
          <w:highlight w:val="none"/>
        </w:rPr>
      </w:pPr>
    </w:p>
    <w:p w14:paraId="0CE5675A">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项目名称：国家非物质文化遗产保护资金</w:t>
      </w:r>
    </w:p>
    <w:p w14:paraId="7A687841">
      <w:pPr>
        <w:spacing w:line="360" w:lineRule="auto"/>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和静县东归文化馆</w:t>
      </w:r>
    </w:p>
    <w:p w14:paraId="23C50560">
      <w:pPr>
        <w:ind w:firstLine="600"/>
        <w:rPr>
          <w:rFonts w:hint="eastAsia" w:ascii="黑体" w:eastAsia="黑体"/>
          <w:color w:val="auto"/>
          <w:sz w:val="30"/>
          <w:szCs w:val="30"/>
          <w:highlight w:val="none"/>
        </w:rPr>
      </w:pPr>
      <w:r>
        <w:rPr>
          <w:rFonts w:hint="eastAsia" w:ascii="黑体" w:eastAsia="黑体"/>
          <w:color w:val="auto"/>
          <w:sz w:val="30"/>
          <w:szCs w:val="30"/>
          <w:highlight w:val="none"/>
        </w:rPr>
        <w:t>项目负责人（签章）：曲洁</w:t>
      </w:r>
    </w:p>
    <w:p w14:paraId="04C9D65C">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7640379A">
      <w:pPr>
        <w:ind w:firstLine="0" w:firstLineChars="0"/>
        <w:jc w:val="center"/>
        <w:rPr>
          <w:b/>
          <w:bCs/>
          <w:color w:val="auto"/>
          <w:sz w:val="32"/>
          <w:szCs w:val="28"/>
          <w:highlight w:val="none"/>
        </w:rPr>
      </w:pPr>
      <w:r>
        <w:rPr>
          <w:rFonts w:hint="eastAsia"/>
          <w:b/>
          <w:bCs/>
          <w:color w:val="auto"/>
          <w:sz w:val="32"/>
          <w:szCs w:val="28"/>
          <w:highlight w:val="none"/>
          <w:lang w:val="en-US" w:eastAsia="zh-CN"/>
        </w:rPr>
        <w:t>国家非物质文化遗产保护资金</w:t>
      </w:r>
      <w:r>
        <w:rPr>
          <w:rFonts w:hint="eastAsia"/>
          <w:b/>
          <w:bCs/>
          <w:color w:val="auto"/>
          <w:sz w:val="32"/>
          <w:szCs w:val="28"/>
          <w:highlight w:val="none"/>
        </w:rPr>
        <w:t>项目支出绩效评价报告</w:t>
      </w:r>
    </w:p>
    <w:p w14:paraId="626B66D3">
      <w:pPr>
        <w:pStyle w:val="2"/>
        <w:ind w:firstLine="643"/>
        <w:rPr>
          <w:color w:val="auto"/>
          <w:highlight w:val="none"/>
        </w:rPr>
      </w:pPr>
      <w:r>
        <w:rPr>
          <w:rFonts w:hint="eastAsia"/>
          <w:color w:val="auto"/>
          <w:highlight w:val="none"/>
        </w:rPr>
        <w:t>一、基本情况</w:t>
      </w:r>
    </w:p>
    <w:p w14:paraId="7540DEFA">
      <w:pPr>
        <w:pStyle w:val="3"/>
        <w:ind w:firstLine="643"/>
        <w:rPr>
          <w:color w:val="auto"/>
          <w:highlight w:val="none"/>
        </w:rPr>
      </w:pPr>
      <w:r>
        <w:rPr>
          <w:rFonts w:hint="eastAsia"/>
          <w:color w:val="auto"/>
          <w:highlight w:val="none"/>
        </w:rPr>
        <w:t>（一）项目概况</w:t>
      </w:r>
    </w:p>
    <w:p w14:paraId="2723E427">
      <w:pPr>
        <w:pStyle w:val="4"/>
        <w:ind w:firstLine="562"/>
        <w:rPr>
          <w:color w:val="auto"/>
          <w:highlight w:val="none"/>
        </w:rPr>
      </w:pPr>
      <w:r>
        <w:rPr>
          <w:rFonts w:hint="eastAsia"/>
          <w:color w:val="auto"/>
          <w:highlight w:val="none"/>
        </w:rPr>
        <w:t>1.项目背景</w:t>
      </w:r>
    </w:p>
    <w:p w14:paraId="4F206EFB">
      <w:pPr>
        <w:pStyle w:val="4"/>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项目背景：国家级非物质文化遗产名录是经中华人民共和国国务院批准，由文化部确定并公布的非物质文化遗产名录。《国家级非物质文化遗产保护与管理暂行办法》已经2006年10月25日文化部部务会议审议通过，现予发布，自2006年12月1日起施行。</w:t>
      </w:r>
    </w:p>
    <w:p w14:paraId="21CCE7EA">
      <w:pPr>
        <w:pStyle w:val="4"/>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立项依据：为使中国的非物质文化遗产保护工作规范化，国务院发布《关于加强文化遗产保护的通知》，并制定“国家 + 省 + 市 + 县”共4级保护体系，要求各地方和各有关部门贯彻“保护为主、抢救第一、合理利用、传承发展”的工作方针，切实做好非物质文化遗产的保护、管理和合理利用工作。《国务院办公厅关于加强我国非物质文化遗产保护工作的意见》(国办发[2005]18号)</w:t>
      </w:r>
    </w:p>
    <w:p w14:paraId="65D14E8E">
      <w:pPr>
        <w:pStyle w:val="4"/>
        <w:numPr>
          <w:ilvl w:val="0"/>
          <w:numId w:val="0"/>
        </w:numPr>
        <w:ind w:firstLine="562" w:firstLineChars="200"/>
        <w:rPr>
          <w:color w:val="auto"/>
          <w:highlight w:val="none"/>
        </w:rPr>
      </w:pPr>
      <w:r>
        <w:rPr>
          <w:rFonts w:hint="eastAsia"/>
          <w:color w:val="auto"/>
          <w:highlight w:val="none"/>
          <w:lang w:val="en-US" w:eastAsia="zh-CN"/>
        </w:rPr>
        <w:t>2.</w:t>
      </w:r>
      <w:r>
        <w:rPr>
          <w:rFonts w:hint="eastAsia"/>
          <w:color w:val="auto"/>
          <w:highlight w:val="none"/>
        </w:rPr>
        <w:t>主要内容</w:t>
      </w:r>
    </w:p>
    <w:p w14:paraId="428ABFB2">
      <w:pPr>
        <w:rPr>
          <w:rFonts w:hint="eastAsia"/>
          <w:color w:val="auto"/>
          <w:highlight w:val="none"/>
          <w:lang w:val="en-US" w:eastAsia="zh-CN"/>
        </w:rPr>
      </w:pPr>
      <w:r>
        <w:rPr>
          <w:rFonts w:hint="eastAsia"/>
          <w:color w:val="auto"/>
          <w:highlight w:val="none"/>
          <w:lang w:val="en-US" w:eastAsia="zh-CN"/>
        </w:rPr>
        <w:t>项目名称：国家非物质文化遗产保护资金项目</w:t>
      </w:r>
    </w:p>
    <w:p w14:paraId="56E70540">
      <w:pPr>
        <w:rPr>
          <w:rFonts w:hint="eastAsia"/>
          <w:color w:val="auto"/>
          <w:highlight w:val="none"/>
          <w:lang w:val="en-US" w:eastAsia="zh-CN"/>
        </w:rPr>
      </w:pPr>
      <w:r>
        <w:rPr>
          <w:rFonts w:hint="eastAsia"/>
          <w:color w:val="auto"/>
          <w:highlight w:val="none"/>
          <w:lang w:val="en-US" w:eastAsia="zh-CN"/>
        </w:rPr>
        <w:t>项目主要内容：2023年国家非物质文化遗产保护资金项目聚焦于贯彻落实党中央、自治区党委关于加强文化遗产工作的决策部署，紧密围绕社会稳定和长治久安总目标，以发掘、保护、研究、利用为核心任务，重点实施国家级非遗代表性项目补助、非遗文化普及教育活动举办及跨区域交流展演三大工程。项目通过专项资金支持1个国家级非遗代表性项目发展，组织开展非遗文化普及教育活动，同步策划实施为期不少于5天的跨区域交流展演，旨在通过系统性保护实践提升各族群众对非物质文化遗产的鉴赏能力，强化文化遗产在培育社会主义核心价值观、增强思想道德建设、提升科学文化素质等方面的社会功能，进一步丰富基层群众精神文化生活，推动优秀传统文化创造性转化与创新性发展，为促进社会和谐稳定、满足人民群众日益增长的文化需求提供有力支撑。</w:t>
      </w:r>
    </w:p>
    <w:p w14:paraId="778F554F">
      <w:pPr>
        <w:pStyle w:val="4"/>
        <w:ind w:firstLine="562"/>
        <w:jc w:val="left"/>
        <w:rPr>
          <w:color w:val="auto"/>
          <w:highlight w:val="none"/>
        </w:rPr>
      </w:pPr>
      <w:r>
        <w:rPr>
          <w:rFonts w:hint="eastAsia"/>
          <w:color w:val="auto"/>
          <w:highlight w:val="none"/>
        </w:rPr>
        <w:t>3.实施情况</w:t>
      </w:r>
    </w:p>
    <w:p w14:paraId="630665D6">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和静县东归文化馆</w:t>
      </w:r>
      <w:r>
        <w:rPr>
          <w:color w:val="auto"/>
          <w:highlight w:val="none"/>
        </w:rPr>
        <w:t>。</w:t>
      </w:r>
    </w:p>
    <w:p w14:paraId="6222D440">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7</w:t>
      </w:r>
      <w:r>
        <w:rPr>
          <w:rFonts w:hint="eastAsia"/>
          <w:color w:val="auto"/>
          <w:highlight w:val="none"/>
        </w:rPr>
        <w:t>月—</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12</w:t>
      </w:r>
      <w:r>
        <w:rPr>
          <w:rFonts w:hint="eastAsia"/>
          <w:color w:val="auto"/>
          <w:highlight w:val="none"/>
        </w:rPr>
        <w:t>月</w:t>
      </w:r>
      <w:r>
        <w:rPr>
          <w:color w:val="auto"/>
          <w:highlight w:val="none"/>
        </w:rPr>
        <w:t>。</w:t>
      </w:r>
    </w:p>
    <w:p w14:paraId="444E0674">
      <w:pPr>
        <w:ind w:firstLine="560"/>
        <w:rPr>
          <w:rFonts w:hint="eastAsia"/>
          <w:color w:val="auto"/>
          <w:highlight w:val="none"/>
        </w:rPr>
      </w:pPr>
      <w:r>
        <w:rPr>
          <w:color w:val="auto"/>
          <w:highlight w:val="none"/>
        </w:rPr>
        <w:t>实施</w:t>
      </w:r>
      <w:r>
        <w:rPr>
          <w:rFonts w:hint="eastAsia"/>
          <w:color w:val="auto"/>
          <w:highlight w:val="none"/>
        </w:rPr>
        <w:t>情况</w:t>
      </w:r>
      <w:r>
        <w:rPr>
          <w:color w:val="auto"/>
          <w:highlight w:val="none"/>
        </w:rPr>
        <w:t>：</w:t>
      </w:r>
    </w:p>
    <w:p w14:paraId="6E41E571">
      <w:pPr>
        <w:ind w:firstLine="560"/>
        <w:rPr>
          <w:rFonts w:hint="eastAsia"/>
          <w:color w:val="auto"/>
          <w:highlight w:val="none"/>
        </w:rPr>
      </w:pPr>
      <w:r>
        <w:rPr>
          <w:rFonts w:hint="eastAsia"/>
          <w:color w:val="auto"/>
          <w:highlight w:val="none"/>
        </w:rPr>
        <w:t>本项目严格依据《国务院办公厅关于加强我国非物质文化遗产保护工作的意见》(国办发[2005]18号)政策要求，以国家级非遗保护资金为支撑，分三阶段推进实施。前期阶段完成政策对标与方案编制，细化3场非遗传承人研修培训、6场非遗文化普及展演及10天非遗文化跨</w:t>
      </w:r>
      <w:r>
        <w:rPr>
          <w:rFonts w:hint="eastAsia"/>
          <w:color w:val="auto"/>
          <w:highlight w:val="none"/>
          <w:lang w:val="en-US" w:eastAsia="zh-CN"/>
        </w:rPr>
        <w:t>县外出</w:t>
      </w:r>
      <w:r>
        <w:rPr>
          <w:rFonts w:hint="eastAsia"/>
          <w:color w:val="auto"/>
          <w:highlight w:val="none"/>
        </w:rPr>
        <w:t>交流计划，同步落实"那达慕"大会赛事奖项设置与文旅融合方案。实施阶段通过"理论+实操+展示"模式完成3期传承人培训，覆盖120人次；举办非遗展演6场惠及2.3万人次；"那达慕"大会吸引5.2万游客参与，带动周边消费增长18%。评估阶段以传承人考核合格率、活动参与率、游客满意度等12项指标验收，实现新增传承人35名，项目知晓率达92%，"那达慕"品牌影响力指数提升40%，全面落实政策中"保护为主、抢救第一、合理利用、传承发展"的工作方针，通过文旅深度融合推动非遗活态传承，超额完成年度非遗保护与传承目标任务。</w:t>
      </w:r>
    </w:p>
    <w:p w14:paraId="5829E5B7">
      <w:pPr>
        <w:pStyle w:val="4"/>
        <w:ind w:firstLine="562"/>
        <w:rPr>
          <w:color w:val="auto"/>
          <w:highlight w:val="none"/>
        </w:rPr>
      </w:pPr>
      <w:r>
        <w:rPr>
          <w:rFonts w:hint="eastAsia"/>
          <w:color w:val="auto"/>
          <w:highlight w:val="none"/>
        </w:rPr>
        <w:t>4.资金投入和使用情况</w:t>
      </w:r>
    </w:p>
    <w:p w14:paraId="695661F3">
      <w:pPr>
        <w:ind w:firstLine="560"/>
        <w:rPr>
          <w:color w:val="auto"/>
          <w:highlight w:val="none"/>
        </w:rPr>
      </w:pPr>
      <w:r>
        <w:rPr>
          <w:rFonts w:hint="eastAsia"/>
          <w:color w:val="auto"/>
          <w:highlight w:val="none"/>
        </w:rPr>
        <w:t>（1）项目资金安排落实、总投入等情况分析</w:t>
      </w:r>
    </w:p>
    <w:p w14:paraId="289C34BD">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20</w:t>
      </w:r>
      <w:r>
        <w:rPr>
          <w:color w:val="auto"/>
          <w:highlight w:val="none"/>
        </w:rPr>
        <w:t>万元，</w:t>
      </w:r>
      <w:r>
        <w:rPr>
          <w:rFonts w:hint="eastAsia"/>
          <w:color w:val="auto"/>
          <w:highlight w:val="none"/>
        </w:rPr>
        <w:t>资金来源为中央专项资金其中：</w:t>
      </w:r>
      <w:r>
        <w:rPr>
          <w:color w:val="auto"/>
          <w:highlight w:val="none"/>
        </w:rPr>
        <w:t>财政资金</w:t>
      </w:r>
      <w:r>
        <w:rPr>
          <w:rFonts w:hint="eastAsia"/>
          <w:color w:val="auto"/>
          <w:highlight w:val="none"/>
          <w:lang w:val="en-US" w:eastAsia="zh-CN"/>
        </w:rPr>
        <w:t>20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20</w:t>
      </w:r>
      <w:r>
        <w:rPr>
          <w:color w:val="auto"/>
          <w:highlight w:val="none"/>
        </w:rPr>
        <w:t>万元，预算资金到位率为</w:t>
      </w:r>
      <w:r>
        <w:rPr>
          <w:rFonts w:hint="eastAsia"/>
          <w:color w:val="auto"/>
          <w:highlight w:val="none"/>
          <w:lang w:val="en-US" w:eastAsia="zh-CN"/>
        </w:rPr>
        <w:t>100</w:t>
      </w:r>
      <w:r>
        <w:rPr>
          <w:color w:val="auto"/>
          <w:highlight w:val="none"/>
        </w:rPr>
        <w:t>%。</w:t>
      </w:r>
    </w:p>
    <w:p w14:paraId="713CC0A7">
      <w:pPr>
        <w:ind w:firstLine="560"/>
        <w:rPr>
          <w:color w:val="auto"/>
          <w:highlight w:val="none"/>
        </w:rPr>
      </w:pPr>
      <w:r>
        <w:rPr>
          <w:rFonts w:hint="eastAsia"/>
          <w:color w:val="auto"/>
          <w:highlight w:val="none"/>
        </w:rPr>
        <w:t>（2）项目资金实际使用情况分析</w:t>
      </w:r>
    </w:p>
    <w:p w14:paraId="0FEC7ACF">
      <w:pPr>
        <w:ind w:firstLine="560"/>
        <w:rPr>
          <w:rFonts w:hint="eastAsia" w:eastAsia="仿宋_GB2312"/>
          <w:color w:val="auto"/>
          <w:highlight w:val="none"/>
          <w:lang w:val="en-US" w:eastAsia="zh-CN"/>
        </w:rPr>
      </w:pPr>
      <w:r>
        <w:rPr>
          <w:rFonts w:hint="eastAsia"/>
          <w:color w:val="auto"/>
          <w:highlight w:val="none"/>
          <w:lang w:val="en-US" w:eastAsia="zh-CN"/>
        </w:rPr>
        <w:t>截至2024年12月31日，本项目实际支出19.99万元</w:t>
      </w:r>
      <w:r>
        <w:rPr>
          <w:rFonts w:hint="eastAsia"/>
          <w:color w:val="auto"/>
          <w:highlight w:val="none"/>
        </w:rPr>
        <w:t>，预算执行率99.95%。本项目资金主要用于支付非遗保护项目支出费用</w:t>
      </w:r>
      <w:r>
        <w:rPr>
          <w:rFonts w:hint="eastAsia"/>
          <w:color w:val="auto"/>
          <w:highlight w:val="none"/>
          <w:lang w:val="en-US" w:eastAsia="zh-CN"/>
        </w:rPr>
        <w:t>5</w:t>
      </w:r>
      <w:r>
        <w:rPr>
          <w:rFonts w:hint="eastAsia"/>
          <w:color w:val="auto"/>
          <w:highlight w:val="none"/>
        </w:rPr>
        <w:t>万元</w:t>
      </w:r>
      <w:r>
        <w:rPr>
          <w:rFonts w:hint="eastAsia"/>
          <w:color w:val="auto"/>
          <w:highlight w:val="none"/>
          <w:lang w:eastAsia="zh-CN"/>
        </w:rPr>
        <w:t>、</w:t>
      </w:r>
      <w:r>
        <w:rPr>
          <w:rFonts w:hint="eastAsia"/>
          <w:color w:val="auto"/>
          <w:highlight w:val="none"/>
        </w:rPr>
        <w:t>非遗文化普及活动支出费用</w:t>
      </w:r>
      <w:r>
        <w:rPr>
          <w:rFonts w:hint="eastAsia"/>
          <w:color w:val="auto"/>
          <w:highlight w:val="none"/>
          <w:lang w:val="en-US" w:eastAsia="zh-CN"/>
        </w:rPr>
        <w:t>5</w:t>
      </w:r>
      <w:r>
        <w:rPr>
          <w:rFonts w:hint="eastAsia"/>
          <w:color w:val="auto"/>
          <w:highlight w:val="none"/>
        </w:rPr>
        <w:t>万元</w:t>
      </w:r>
      <w:r>
        <w:rPr>
          <w:rFonts w:hint="eastAsia"/>
          <w:color w:val="auto"/>
          <w:highlight w:val="none"/>
          <w:lang w:val="en-US" w:eastAsia="zh-CN"/>
        </w:rPr>
        <w:t>和非遗文化展演支出</w:t>
      </w:r>
      <w:r>
        <w:rPr>
          <w:rFonts w:hint="eastAsia"/>
          <w:color w:val="auto"/>
          <w:highlight w:val="none"/>
        </w:rPr>
        <w:t>费用</w:t>
      </w:r>
      <w:r>
        <w:rPr>
          <w:rFonts w:hint="eastAsia"/>
          <w:color w:val="auto"/>
          <w:highlight w:val="none"/>
          <w:lang w:val="en-US" w:eastAsia="zh-CN"/>
        </w:rPr>
        <w:t>9.99</w:t>
      </w:r>
      <w:r>
        <w:rPr>
          <w:rFonts w:hint="eastAsia"/>
          <w:color w:val="auto"/>
          <w:highlight w:val="none"/>
        </w:rPr>
        <w:t>万元</w:t>
      </w:r>
      <w:r>
        <w:rPr>
          <w:rFonts w:hint="eastAsia"/>
          <w:color w:val="auto"/>
          <w:highlight w:val="none"/>
          <w:lang w:eastAsia="zh-CN"/>
        </w:rPr>
        <w:t>。</w:t>
      </w:r>
    </w:p>
    <w:p w14:paraId="47FCFAD7">
      <w:pPr>
        <w:pStyle w:val="3"/>
        <w:numPr>
          <w:ilvl w:val="0"/>
          <w:numId w:val="2"/>
        </w:numPr>
        <w:ind w:firstLine="643"/>
        <w:rPr>
          <w:color w:val="auto"/>
          <w:highlight w:val="none"/>
        </w:rPr>
      </w:pPr>
      <w:r>
        <w:rPr>
          <w:rFonts w:hint="eastAsia"/>
          <w:color w:val="auto"/>
          <w:highlight w:val="none"/>
        </w:rPr>
        <w:t>项目绩效目标</w:t>
      </w:r>
    </w:p>
    <w:p w14:paraId="0BD74BCF">
      <w:pPr>
        <w:pStyle w:val="4"/>
        <w:ind w:firstLine="562"/>
        <w:rPr>
          <w:color w:val="auto"/>
          <w:highlight w:val="none"/>
        </w:rPr>
      </w:pPr>
      <w:r>
        <w:rPr>
          <w:rFonts w:hint="eastAsia"/>
          <w:color w:val="auto"/>
          <w:highlight w:val="none"/>
        </w:rPr>
        <w:t>1.总体目标</w:t>
      </w:r>
    </w:p>
    <w:p w14:paraId="3450BD33">
      <w:pPr>
        <w:pStyle w:val="4"/>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目标1.开展非遗传承人研修培训班3场，举办非遗文化普及展演活动6场次，举办“那达慕“大会1场，非遗文化外出交流展演10天。</w:t>
      </w:r>
    </w:p>
    <w:p w14:paraId="690C2D47">
      <w:pPr>
        <w:pStyle w:val="4"/>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目标2.举办“那达慕”大会有赛马、牧人竞技赛、传统式摔跤（搏克）设置奖项，提高各项目传承人参与活动的积极性，培养更多的项目传承人。通过举办“那达慕”大会，推进“以文促进旅游文化，增强体育融合发展新业态提升“那达慕”非遗活动的知名度，吸引更多游客来和静县巴音布鲁克草原，使更多游客在旅游期间在吃住行游购娱乐方面，有好的感受和体验，为景区树立宣传好的口碑。</w:t>
      </w:r>
    </w:p>
    <w:p w14:paraId="6C3FC54A">
      <w:pPr>
        <w:pStyle w:val="4"/>
        <w:ind w:firstLine="562"/>
        <w:rPr>
          <w:color w:val="auto"/>
          <w:highlight w:val="none"/>
        </w:rPr>
      </w:pPr>
      <w:r>
        <w:rPr>
          <w:rFonts w:hint="eastAsia"/>
          <w:color w:val="auto"/>
          <w:highlight w:val="none"/>
        </w:rPr>
        <w:t>2.阶段性目标</w:t>
      </w:r>
    </w:p>
    <w:p w14:paraId="0BF2B797">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33BD25BB">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1CEB021B">
      <w:pPr>
        <w:ind w:firstLine="560"/>
        <w:rPr>
          <w:color w:val="auto"/>
          <w:highlight w:val="none"/>
        </w:rPr>
      </w:pPr>
      <w:r>
        <w:rPr>
          <w:rFonts w:hint="eastAsia"/>
          <w:color w:val="auto"/>
          <w:highlight w:val="none"/>
        </w:rPr>
        <w:t>①数量指标</w:t>
      </w:r>
    </w:p>
    <w:p w14:paraId="5C7E73F8">
      <w:pPr>
        <w:ind w:firstLine="560"/>
        <w:rPr>
          <w:rFonts w:hint="eastAsia"/>
          <w:color w:val="auto"/>
          <w:highlight w:val="none"/>
          <w:lang w:val="en-US" w:eastAsia="zh-CN"/>
        </w:rPr>
      </w:pPr>
      <w:r>
        <w:rPr>
          <w:rFonts w:hint="eastAsia"/>
          <w:color w:val="auto"/>
          <w:highlight w:val="none"/>
          <w:lang w:val="en-US" w:eastAsia="zh-CN"/>
        </w:rPr>
        <w:t>“非遗传承人研修培训班次”指标，预期指标值为≥3场。</w:t>
      </w:r>
    </w:p>
    <w:p w14:paraId="1057529F">
      <w:pPr>
        <w:ind w:firstLine="560"/>
        <w:rPr>
          <w:rFonts w:hint="eastAsia"/>
          <w:color w:val="auto"/>
          <w:highlight w:val="none"/>
        </w:rPr>
      </w:pPr>
      <w:r>
        <w:rPr>
          <w:rFonts w:hint="eastAsia"/>
          <w:color w:val="auto"/>
          <w:highlight w:val="none"/>
          <w:lang w:val="en-US" w:eastAsia="zh-CN"/>
        </w:rPr>
        <w:t>“举办非遗文化普及展演活动场次”指标，预期指标值为≥6场。</w:t>
      </w:r>
    </w:p>
    <w:p w14:paraId="3DDBA560">
      <w:pPr>
        <w:ind w:firstLine="560"/>
        <w:rPr>
          <w:rFonts w:hint="eastAsia"/>
          <w:color w:val="auto"/>
          <w:highlight w:val="none"/>
          <w:lang w:val="en-US" w:eastAsia="zh-CN"/>
        </w:rPr>
      </w:pPr>
      <w:r>
        <w:rPr>
          <w:rFonts w:hint="eastAsia"/>
          <w:color w:val="auto"/>
          <w:highlight w:val="none"/>
          <w:lang w:val="en-US" w:eastAsia="zh-CN"/>
        </w:rPr>
        <w:t>“举办“那达慕“大会”指标，预期指标值为≥1场。</w:t>
      </w:r>
    </w:p>
    <w:p w14:paraId="2B7E473D">
      <w:pPr>
        <w:rPr>
          <w:color w:val="auto"/>
          <w:highlight w:val="none"/>
        </w:rPr>
      </w:pPr>
      <w:r>
        <w:rPr>
          <w:rFonts w:hint="eastAsia"/>
          <w:color w:val="auto"/>
          <w:highlight w:val="none"/>
          <w:lang w:val="en-US" w:eastAsia="zh-CN"/>
        </w:rPr>
        <w:t>“非遗文化外出交流展演天数”指标，预期指标值为≥10天。</w:t>
      </w:r>
    </w:p>
    <w:p w14:paraId="69B69EB0">
      <w:pPr>
        <w:ind w:firstLine="560"/>
        <w:rPr>
          <w:rFonts w:hint="eastAsia"/>
          <w:color w:val="auto"/>
          <w:highlight w:val="none"/>
          <w:lang w:val="en-US" w:eastAsia="zh-CN"/>
        </w:rPr>
      </w:pPr>
      <w:r>
        <w:rPr>
          <w:rFonts w:hint="eastAsia"/>
          <w:color w:val="auto"/>
          <w:highlight w:val="none"/>
          <w:lang w:val="en-US" w:eastAsia="zh-CN"/>
        </w:rPr>
        <w:t>②质量指标</w:t>
      </w:r>
    </w:p>
    <w:p w14:paraId="193D653D">
      <w:pPr>
        <w:ind w:firstLine="560"/>
        <w:rPr>
          <w:rFonts w:hint="eastAsia"/>
          <w:color w:val="auto"/>
          <w:highlight w:val="none"/>
          <w:lang w:val="en-US" w:eastAsia="zh-CN"/>
        </w:rPr>
      </w:pPr>
      <w:r>
        <w:rPr>
          <w:rFonts w:hint="eastAsia"/>
          <w:color w:val="auto"/>
          <w:highlight w:val="none"/>
          <w:lang w:val="en-US" w:eastAsia="zh-CN"/>
        </w:rPr>
        <w:t>“非遗传承人研修培训合格率”指标，预期指标值为≥90%。</w:t>
      </w:r>
    </w:p>
    <w:p w14:paraId="2823C95E">
      <w:pPr>
        <w:ind w:firstLine="560"/>
        <w:rPr>
          <w:rFonts w:hint="eastAsia"/>
          <w:color w:val="auto"/>
          <w:highlight w:val="none"/>
          <w:lang w:val="en-US" w:eastAsia="zh-CN"/>
        </w:rPr>
      </w:pPr>
      <w:r>
        <w:rPr>
          <w:rFonts w:hint="eastAsia"/>
          <w:color w:val="auto"/>
          <w:highlight w:val="none"/>
          <w:lang w:val="en-US" w:eastAsia="zh-CN"/>
        </w:rPr>
        <w:t>“非遗活动展演率”指标，预期指标值为≥90%。</w:t>
      </w:r>
    </w:p>
    <w:p w14:paraId="02407E54">
      <w:pPr>
        <w:ind w:firstLine="560"/>
        <w:rPr>
          <w:rFonts w:hint="eastAsia"/>
          <w:color w:val="auto"/>
          <w:highlight w:val="none"/>
          <w:lang w:val="en-US" w:eastAsia="zh-CN"/>
        </w:rPr>
      </w:pPr>
      <w:r>
        <w:rPr>
          <w:rFonts w:hint="eastAsia"/>
          <w:color w:val="auto"/>
          <w:highlight w:val="none"/>
          <w:lang w:val="en-US" w:eastAsia="zh-CN"/>
        </w:rPr>
        <w:t>③时效指标</w:t>
      </w:r>
    </w:p>
    <w:p w14:paraId="5E372798">
      <w:pPr>
        <w:ind w:firstLine="560"/>
        <w:rPr>
          <w:rFonts w:hint="eastAsia"/>
          <w:color w:val="auto"/>
          <w:highlight w:val="none"/>
          <w:lang w:val="en-US" w:eastAsia="zh-CN"/>
        </w:rPr>
      </w:pPr>
      <w:r>
        <w:rPr>
          <w:rFonts w:hint="eastAsia"/>
          <w:color w:val="auto"/>
          <w:highlight w:val="none"/>
          <w:lang w:val="en-US" w:eastAsia="zh-CN"/>
        </w:rPr>
        <w:t>“非遗传承人研修培训结业率”指标，预期指标值为≥90%。</w:t>
      </w:r>
    </w:p>
    <w:p w14:paraId="2ABF9EB4">
      <w:pPr>
        <w:ind w:firstLine="560"/>
        <w:rPr>
          <w:rFonts w:hint="eastAsia"/>
          <w:color w:val="auto"/>
          <w:highlight w:val="none"/>
          <w:lang w:val="en-US" w:eastAsia="zh-CN"/>
        </w:rPr>
      </w:pPr>
      <w:r>
        <w:rPr>
          <w:rFonts w:hint="eastAsia"/>
          <w:color w:val="auto"/>
          <w:highlight w:val="none"/>
          <w:lang w:val="en-US" w:eastAsia="zh-CN"/>
        </w:rPr>
        <w:t>“项目任务按期完成率”指标，预期指标值为≥90%。</w:t>
      </w:r>
    </w:p>
    <w:p w14:paraId="22988A05">
      <w:pPr>
        <w:ind w:firstLine="560"/>
        <w:rPr>
          <w:rFonts w:hint="eastAsia"/>
          <w:color w:val="auto"/>
          <w:highlight w:val="none"/>
          <w:lang w:val="en-US" w:eastAsia="zh-CN"/>
        </w:rPr>
      </w:pPr>
      <w:r>
        <w:rPr>
          <w:rFonts w:hint="eastAsia"/>
          <w:color w:val="auto"/>
          <w:highlight w:val="none"/>
          <w:lang w:val="en-US" w:eastAsia="zh-CN"/>
        </w:rPr>
        <w:t>④成本指标</w:t>
      </w:r>
    </w:p>
    <w:p w14:paraId="25A93B99">
      <w:pPr>
        <w:ind w:firstLine="560"/>
        <w:rPr>
          <w:rFonts w:hint="eastAsia"/>
          <w:color w:val="auto"/>
          <w:highlight w:val="none"/>
          <w:lang w:val="en-US" w:eastAsia="zh-CN"/>
        </w:rPr>
      </w:pPr>
      <w:r>
        <w:rPr>
          <w:rFonts w:hint="eastAsia"/>
          <w:color w:val="auto"/>
          <w:highlight w:val="none"/>
          <w:lang w:val="en-US" w:eastAsia="zh-CN"/>
        </w:rPr>
        <w:t>“非遗保护项目支出”指标，预期指标值为≤5万元；</w:t>
      </w:r>
    </w:p>
    <w:p w14:paraId="5BF584BF">
      <w:pPr>
        <w:ind w:firstLine="560"/>
        <w:rPr>
          <w:rFonts w:hint="eastAsia"/>
          <w:color w:val="auto"/>
          <w:highlight w:val="none"/>
          <w:lang w:val="en-US" w:eastAsia="zh-CN"/>
        </w:rPr>
      </w:pPr>
      <w:r>
        <w:rPr>
          <w:rFonts w:hint="eastAsia"/>
          <w:color w:val="auto"/>
          <w:highlight w:val="none"/>
          <w:lang w:val="en-US" w:eastAsia="zh-CN"/>
        </w:rPr>
        <w:t>“非遗文化普及活动支出”指标，预期指标值为≤5万元；</w:t>
      </w:r>
    </w:p>
    <w:p w14:paraId="7638CAD9">
      <w:pPr>
        <w:ind w:firstLine="560"/>
        <w:rPr>
          <w:rFonts w:hint="eastAsia"/>
          <w:color w:val="auto"/>
          <w:highlight w:val="none"/>
          <w:lang w:val="en-US" w:eastAsia="zh-CN"/>
        </w:rPr>
      </w:pPr>
      <w:r>
        <w:rPr>
          <w:rFonts w:hint="eastAsia"/>
          <w:color w:val="auto"/>
          <w:highlight w:val="none"/>
          <w:lang w:val="en-US" w:eastAsia="zh-CN"/>
        </w:rPr>
        <w:t>“非遗文化展演支出”指标，预期指标值为≤10万元；</w:t>
      </w:r>
    </w:p>
    <w:p w14:paraId="35BDF705">
      <w:pPr>
        <w:ind w:firstLine="560"/>
        <w:rPr>
          <w:rFonts w:hint="eastAsia"/>
          <w:color w:val="auto"/>
          <w:highlight w:val="none"/>
          <w:lang w:val="en-US" w:eastAsia="zh-CN"/>
        </w:rPr>
      </w:pPr>
      <w:r>
        <w:rPr>
          <w:rFonts w:hint="eastAsia"/>
          <w:color w:val="auto"/>
          <w:highlight w:val="none"/>
          <w:lang w:val="en-US" w:eastAsia="zh-CN"/>
        </w:rPr>
        <w:t>（2）项目效益指标</w:t>
      </w:r>
    </w:p>
    <w:p w14:paraId="71A07D75">
      <w:pPr>
        <w:ind w:firstLine="560"/>
        <w:rPr>
          <w:rFonts w:hint="eastAsia"/>
          <w:color w:val="auto"/>
          <w:highlight w:val="none"/>
          <w:lang w:val="en-US" w:eastAsia="zh-CN"/>
        </w:rPr>
      </w:pPr>
      <w:r>
        <w:rPr>
          <w:rFonts w:hint="eastAsia"/>
          <w:color w:val="auto"/>
          <w:highlight w:val="none"/>
          <w:lang w:val="en-US" w:eastAsia="zh-CN"/>
        </w:rPr>
        <w:t>①经济效益指标</w:t>
      </w:r>
    </w:p>
    <w:p w14:paraId="7F4ECC0B">
      <w:pPr>
        <w:ind w:firstLine="560"/>
        <w:rPr>
          <w:rFonts w:hint="eastAsia"/>
          <w:color w:val="auto"/>
          <w:highlight w:val="none"/>
          <w:lang w:val="en-US" w:eastAsia="zh-CN"/>
        </w:rPr>
      </w:pPr>
      <w:r>
        <w:rPr>
          <w:rFonts w:hint="eastAsia"/>
          <w:color w:val="auto"/>
          <w:highlight w:val="none"/>
          <w:lang w:val="en-US" w:eastAsia="zh-CN"/>
        </w:rPr>
        <w:t>无；</w:t>
      </w:r>
    </w:p>
    <w:p w14:paraId="6261B2DC">
      <w:pPr>
        <w:ind w:firstLine="560"/>
        <w:rPr>
          <w:rFonts w:hint="eastAsia"/>
          <w:color w:val="auto"/>
          <w:highlight w:val="none"/>
          <w:lang w:val="en-US" w:eastAsia="zh-CN"/>
        </w:rPr>
      </w:pPr>
      <w:r>
        <w:rPr>
          <w:rFonts w:hint="eastAsia"/>
          <w:color w:val="auto"/>
          <w:highlight w:val="none"/>
          <w:lang w:val="en-US" w:eastAsia="zh-CN"/>
        </w:rPr>
        <w:t>②社会效益指标</w:t>
      </w:r>
    </w:p>
    <w:p w14:paraId="45BF5EC6">
      <w:pPr>
        <w:ind w:firstLine="560"/>
        <w:rPr>
          <w:rFonts w:hint="eastAsia"/>
          <w:color w:val="auto"/>
          <w:highlight w:val="none"/>
          <w:lang w:val="en-US" w:eastAsia="zh-CN"/>
        </w:rPr>
      </w:pPr>
      <w:r>
        <w:rPr>
          <w:rFonts w:hint="eastAsia"/>
          <w:color w:val="auto"/>
          <w:highlight w:val="none"/>
          <w:lang w:val="en-US" w:eastAsia="zh-CN"/>
        </w:rPr>
        <w:t>“非遗传承人传播覆盖人群增长率”指标，预期指标值为≥5%；</w:t>
      </w:r>
    </w:p>
    <w:p w14:paraId="5C1F409E">
      <w:pPr>
        <w:ind w:firstLine="560"/>
        <w:rPr>
          <w:rFonts w:hint="eastAsia"/>
          <w:color w:val="auto"/>
          <w:highlight w:val="none"/>
          <w:lang w:val="en-US" w:eastAsia="zh-CN"/>
        </w:rPr>
      </w:pPr>
      <w:r>
        <w:rPr>
          <w:rFonts w:hint="eastAsia"/>
          <w:color w:val="auto"/>
          <w:highlight w:val="none"/>
          <w:lang w:val="en-US" w:eastAsia="zh-CN"/>
        </w:rPr>
        <w:t>“对增强非遗保护传承氛围的影响”指标，预期指标值为有效增强；</w:t>
      </w:r>
    </w:p>
    <w:p w14:paraId="56AD7A80">
      <w:pPr>
        <w:ind w:firstLine="560"/>
        <w:rPr>
          <w:rFonts w:hint="eastAsia"/>
          <w:color w:val="auto"/>
          <w:highlight w:val="none"/>
          <w:lang w:val="en-US" w:eastAsia="zh-CN"/>
        </w:rPr>
      </w:pPr>
      <w:r>
        <w:rPr>
          <w:rFonts w:hint="eastAsia"/>
          <w:color w:val="auto"/>
          <w:highlight w:val="none"/>
          <w:lang w:val="en-US" w:eastAsia="zh-CN"/>
        </w:rPr>
        <w:t>③生态效益指标</w:t>
      </w:r>
    </w:p>
    <w:p w14:paraId="4B14632E">
      <w:pPr>
        <w:ind w:firstLine="560"/>
        <w:rPr>
          <w:rFonts w:hint="eastAsia"/>
          <w:color w:val="auto"/>
          <w:highlight w:val="none"/>
          <w:lang w:val="en-US" w:eastAsia="zh-CN"/>
        </w:rPr>
      </w:pPr>
      <w:r>
        <w:rPr>
          <w:rFonts w:hint="eastAsia"/>
          <w:color w:val="auto"/>
          <w:highlight w:val="none"/>
          <w:lang w:val="en-US" w:eastAsia="zh-CN"/>
        </w:rPr>
        <w:t>无；</w:t>
      </w:r>
    </w:p>
    <w:p w14:paraId="0B256DA2">
      <w:pPr>
        <w:ind w:firstLine="560"/>
        <w:rPr>
          <w:rFonts w:hint="eastAsia"/>
          <w:color w:val="auto"/>
          <w:highlight w:val="none"/>
          <w:lang w:val="en-US" w:eastAsia="zh-CN"/>
        </w:rPr>
      </w:pPr>
      <w:r>
        <w:rPr>
          <w:rFonts w:hint="eastAsia"/>
          <w:color w:val="auto"/>
          <w:highlight w:val="none"/>
          <w:lang w:val="en-US" w:eastAsia="zh-CN"/>
        </w:rPr>
        <w:t>④可持续影响</w:t>
      </w:r>
    </w:p>
    <w:p w14:paraId="0DC3FE82">
      <w:pPr>
        <w:ind w:firstLine="560"/>
        <w:rPr>
          <w:rFonts w:hint="eastAsia"/>
          <w:color w:val="auto"/>
          <w:highlight w:val="none"/>
          <w:lang w:val="en-US" w:eastAsia="zh-CN"/>
        </w:rPr>
      </w:pPr>
      <w:r>
        <w:rPr>
          <w:rFonts w:hint="eastAsia"/>
          <w:color w:val="auto"/>
          <w:highlight w:val="none"/>
          <w:lang w:val="en-US" w:eastAsia="zh-CN"/>
        </w:rPr>
        <w:t>无；</w:t>
      </w:r>
    </w:p>
    <w:p w14:paraId="3C3A4FF7">
      <w:pPr>
        <w:ind w:firstLine="560"/>
        <w:rPr>
          <w:rFonts w:hint="eastAsia"/>
          <w:color w:val="auto"/>
          <w:highlight w:val="none"/>
          <w:lang w:val="en-US" w:eastAsia="zh-CN"/>
        </w:rPr>
      </w:pPr>
      <w:r>
        <w:rPr>
          <w:rFonts w:hint="eastAsia"/>
          <w:color w:val="auto"/>
          <w:highlight w:val="none"/>
          <w:lang w:val="en-US" w:eastAsia="zh-CN"/>
        </w:rPr>
        <w:t>⑤满意度指标</w:t>
      </w:r>
    </w:p>
    <w:p w14:paraId="532FD7FD">
      <w:pPr>
        <w:ind w:firstLine="560"/>
        <w:rPr>
          <w:rFonts w:hint="eastAsia"/>
          <w:color w:val="auto"/>
          <w:highlight w:val="none"/>
          <w:lang w:val="en-US" w:eastAsia="zh-CN"/>
        </w:rPr>
      </w:pPr>
      <w:r>
        <w:rPr>
          <w:rFonts w:hint="eastAsia"/>
          <w:color w:val="auto"/>
          <w:highlight w:val="none"/>
          <w:lang w:val="en-US" w:eastAsia="zh-CN"/>
        </w:rPr>
        <w:t>“非遗保护与传承活动受益公众满意度”指标，预期指标值为≥90%。</w:t>
      </w:r>
    </w:p>
    <w:p w14:paraId="073106F9">
      <w:pPr>
        <w:pStyle w:val="2"/>
        <w:ind w:firstLine="643"/>
        <w:rPr>
          <w:color w:val="auto"/>
          <w:highlight w:val="none"/>
        </w:rPr>
      </w:pPr>
      <w:r>
        <w:rPr>
          <w:rFonts w:hint="eastAsia"/>
          <w:color w:val="auto"/>
          <w:highlight w:val="none"/>
        </w:rPr>
        <w:t>二、绩效评价工作开展情况</w:t>
      </w:r>
    </w:p>
    <w:p w14:paraId="3A61E666">
      <w:pPr>
        <w:pStyle w:val="3"/>
        <w:ind w:firstLine="643"/>
        <w:rPr>
          <w:color w:val="auto"/>
          <w:highlight w:val="none"/>
        </w:rPr>
      </w:pPr>
      <w:bookmarkStart w:id="0" w:name="_Toc5258"/>
      <w:bookmarkStart w:id="1" w:name="_Toc26632"/>
      <w:bookmarkStart w:id="2" w:name="_Toc22922"/>
      <w:bookmarkStart w:id="3" w:name="_Toc5462343"/>
      <w:bookmarkStart w:id="4" w:name="_Toc480473081"/>
      <w:bookmarkStart w:id="5" w:name="_Toc12868"/>
      <w:bookmarkStart w:id="6" w:name="_Toc21664"/>
      <w:bookmarkStart w:id="7" w:name="_Toc22169_WPSOffice_Level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6537B52D">
      <w:pPr>
        <w:pStyle w:val="4"/>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45EFC527">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单位针对国家非物质文化遗产保护资金项目开展本次部门项目支出绩效评价工作。通过绩效评价，促进本单位发现问题、总结经验、改进工作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0B148B56">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37CEF300">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E59EC59">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AFD2308">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1B327ABB">
      <w:pPr>
        <w:pStyle w:val="4"/>
        <w:ind w:firstLine="562"/>
        <w:rPr>
          <w:color w:val="auto"/>
          <w:highlight w:val="none"/>
        </w:rPr>
      </w:pPr>
      <w:r>
        <w:rPr>
          <w:rFonts w:hint="eastAsia"/>
          <w:color w:val="auto"/>
          <w:highlight w:val="none"/>
        </w:rPr>
        <w:t>2.绩效评价对象</w:t>
      </w:r>
    </w:p>
    <w:p w14:paraId="2F882AB8">
      <w:pPr>
        <w:ind w:firstLine="560"/>
        <w:rPr>
          <w:color w:val="auto"/>
          <w:highlight w:val="none"/>
        </w:rPr>
      </w:pPr>
      <w:r>
        <w:rPr>
          <w:rFonts w:hint="eastAsia"/>
          <w:color w:val="auto"/>
          <w:highlight w:val="none"/>
        </w:rPr>
        <w:t>此次我单位根据《财政支出绩效评价管理暂行办法》（财预〔2020〕10号）文件要求实施评价工作，本次评价对象</w:t>
      </w:r>
      <w:r>
        <w:rPr>
          <w:rFonts w:hint="eastAsia" w:cs="Times New Roman"/>
          <w:color w:val="auto"/>
          <w:highlight w:val="none"/>
        </w:rPr>
        <w:t>为国家非物质文化遗产保护资金项目，评价核心为项目</w:t>
      </w:r>
      <w:r>
        <w:rPr>
          <w:rFonts w:hint="eastAsia" w:cs="Times New Roman"/>
          <w:color w:val="auto"/>
          <w:highlight w:val="none"/>
          <w:lang w:val="en-US" w:eastAsia="zh-CN"/>
        </w:rPr>
        <w:t>的资金</w:t>
      </w:r>
      <w:r>
        <w:rPr>
          <w:rFonts w:hint="eastAsia"/>
          <w:color w:val="auto"/>
          <w:highlight w:val="none"/>
          <w:lang w:val="en-US" w:eastAsia="zh-CN"/>
        </w:rPr>
        <w:t>投入、产出及效益</w:t>
      </w:r>
      <w:r>
        <w:rPr>
          <w:rFonts w:hint="eastAsia"/>
          <w:color w:val="auto"/>
          <w:highlight w:val="none"/>
        </w:rPr>
        <w:t>。</w:t>
      </w:r>
    </w:p>
    <w:p w14:paraId="13DEC9B7">
      <w:pPr>
        <w:pStyle w:val="4"/>
        <w:ind w:firstLine="562"/>
        <w:rPr>
          <w:color w:val="auto"/>
          <w:highlight w:val="none"/>
        </w:rPr>
      </w:pPr>
      <w:r>
        <w:rPr>
          <w:rFonts w:hint="eastAsia"/>
          <w:color w:val="auto"/>
          <w:highlight w:val="none"/>
        </w:rPr>
        <w:t>3.绩效评价范围</w:t>
      </w:r>
    </w:p>
    <w:p w14:paraId="32C6B343">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2D9AB447">
      <w:pPr>
        <w:pStyle w:val="3"/>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520EB470">
      <w:pPr>
        <w:pStyle w:val="4"/>
        <w:ind w:firstLine="562"/>
        <w:rPr>
          <w:color w:val="auto"/>
          <w:highlight w:val="none"/>
        </w:rPr>
      </w:pPr>
      <w:r>
        <w:rPr>
          <w:rFonts w:hint="eastAsia"/>
          <w:color w:val="auto"/>
          <w:highlight w:val="none"/>
        </w:rPr>
        <w:t>1.绩效评价原则</w:t>
      </w:r>
    </w:p>
    <w:p w14:paraId="1C87FC8C">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3CA3B167">
      <w:pPr>
        <w:ind w:firstLine="560"/>
        <w:rPr>
          <w:color w:val="auto"/>
          <w:highlight w:val="none"/>
        </w:rPr>
      </w:pPr>
      <w:bookmarkStart w:id="8" w:name="_Toc428278230"/>
      <w:bookmarkStart w:id="9" w:name="_Toc419984722"/>
      <w:bookmarkStart w:id="10" w:name="_Toc1913"/>
      <w:bookmarkStart w:id="11" w:name="_Toc26131"/>
      <w:r>
        <w:rPr>
          <w:rFonts w:hint="eastAsia"/>
          <w:color w:val="auto"/>
          <w:highlight w:val="none"/>
        </w:rPr>
        <w:t>（1）科学公正。绩效评价应当运用科学合理的方法，按照规范的程序，对项目绩效进行客观、公正的反映。</w:t>
      </w:r>
    </w:p>
    <w:p w14:paraId="01E9D681">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3D37F74">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431EFDCC">
      <w:pPr>
        <w:snapToGrid w:val="0"/>
        <w:ind w:firstLine="560"/>
        <w:rPr>
          <w:color w:val="auto"/>
          <w:highlight w:val="none"/>
        </w:rPr>
      </w:pPr>
      <w:r>
        <w:rPr>
          <w:rFonts w:hint="eastAsia"/>
          <w:color w:val="auto"/>
          <w:highlight w:val="none"/>
        </w:rPr>
        <w:t>（4）公开透明。绩效评价结果应依法依规公开，并自觉接受社会监督。</w:t>
      </w:r>
    </w:p>
    <w:p w14:paraId="76774D3E">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11CA732E">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12897FC9">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7C41AC23">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69891152">
      <w:pPr>
        <w:pStyle w:val="4"/>
        <w:ind w:firstLine="562"/>
        <w:rPr>
          <w:color w:val="auto"/>
          <w:highlight w:val="none"/>
        </w:rPr>
      </w:pPr>
      <w:r>
        <w:rPr>
          <w:rFonts w:hint="eastAsia"/>
          <w:color w:val="auto"/>
          <w:highlight w:val="none"/>
        </w:rPr>
        <w:t>2.绩效评价指标体系</w:t>
      </w:r>
      <w:bookmarkEnd w:id="8"/>
      <w:bookmarkEnd w:id="9"/>
      <w:bookmarkEnd w:id="10"/>
      <w:bookmarkEnd w:id="11"/>
    </w:p>
    <w:p w14:paraId="20AC01FD">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40A85906">
      <w:pPr>
        <w:pStyle w:val="4"/>
        <w:ind w:firstLine="562"/>
        <w:rPr>
          <w:color w:val="auto"/>
          <w:highlight w:val="none"/>
        </w:rPr>
      </w:pPr>
      <w:r>
        <w:rPr>
          <w:rFonts w:hint="eastAsia"/>
          <w:color w:val="auto"/>
          <w:highlight w:val="none"/>
        </w:rPr>
        <w:t>3.评价方法</w:t>
      </w:r>
    </w:p>
    <w:p w14:paraId="6AA3DFBF">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57BA2C59">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0824A8DB">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F82CA0F">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6FC389CC">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247D25C8">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7848662A">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75F19E29">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2F98528A">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54318862">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455FCE86">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5D717556">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7068A81E">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181F4755">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24189031">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6D347969">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A5133C7">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521613FC">
      <w:pPr>
        <w:pStyle w:val="4"/>
        <w:ind w:firstLine="562"/>
        <w:rPr>
          <w:color w:val="auto"/>
          <w:highlight w:val="none"/>
        </w:rPr>
      </w:pPr>
      <w:r>
        <w:rPr>
          <w:rFonts w:hint="eastAsia"/>
          <w:color w:val="auto"/>
          <w:highlight w:val="none"/>
        </w:rPr>
        <w:t>4.评价标准</w:t>
      </w:r>
    </w:p>
    <w:p w14:paraId="7F16DFA0">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45CDA24">
      <w:pPr>
        <w:pStyle w:val="3"/>
        <w:ind w:firstLine="643"/>
        <w:rPr>
          <w:color w:val="auto"/>
          <w:highlight w:val="none"/>
        </w:rPr>
      </w:pPr>
      <w:r>
        <w:rPr>
          <w:rFonts w:hint="eastAsia"/>
          <w:color w:val="auto"/>
          <w:highlight w:val="none"/>
        </w:rPr>
        <w:t>（三）绩效评价工作过程</w:t>
      </w:r>
    </w:p>
    <w:p w14:paraId="4BE01889">
      <w:pPr>
        <w:pStyle w:val="4"/>
        <w:ind w:firstLine="562"/>
        <w:rPr>
          <w:color w:val="auto"/>
          <w:highlight w:val="none"/>
        </w:rPr>
      </w:pPr>
      <w:r>
        <w:rPr>
          <w:rFonts w:hint="eastAsia"/>
          <w:color w:val="auto"/>
          <w:highlight w:val="none"/>
        </w:rPr>
        <w:t>1.前期准备</w:t>
      </w:r>
    </w:p>
    <w:p w14:paraId="3A62508D">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7A3ACB95">
      <w:pPr>
        <w:ind w:firstLine="560"/>
        <w:rPr>
          <w:rFonts w:hint="eastAsia"/>
          <w:color w:val="auto"/>
          <w:highlight w:val="none"/>
        </w:rPr>
      </w:pPr>
      <w:r>
        <w:rPr>
          <w:rFonts w:hint="eastAsia"/>
          <w:color w:val="auto"/>
          <w:highlight w:val="none"/>
          <w:lang w:val="en-US" w:eastAsia="zh-CN"/>
        </w:rPr>
        <w:t>欧云</w:t>
      </w:r>
      <w:r>
        <w:rPr>
          <w:rFonts w:hint="eastAsia"/>
          <w:color w:val="auto"/>
          <w:highlight w:val="none"/>
        </w:rPr>
        <w:t>（评价小组组长）：主要负责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p>
    <w:p w14:paraId="6DB34FC5">
      <w:pPr>
        <w:ind w:firstLine="560"/>
        <w:rPr>
          <w:rFonts w:hint="eastAsia"/>
          <w:color w:val="auto"/>
          <w:highlight w:val="none"/>
        </w:rPr>
      </w:pPr>
      <w:r>
        <w:rPr>
          <w:rFonts w:hint="eastAsia"/>
          <w:color w:val="auto"/>
          <w:highlight w:val="none"/>
          <w:lang w:val="en-US" w:eastAsia="zh-CN"/>
        </w:rPr>
        <w:t>吴文鑫</w:t>
      </w:r>
      <w:r>
        <w:rPr>
          <w:rFonts w:hint="eastAsia"/>
          <w:color w:val="auto"/>
          <w:highlight w:val="none"/>
        </w:rPr>
        <w:t>（评价小组组员）：主要负责绩效评价现场督导，对评价组成员的评价检查工作提供技术指导与支持，对实效评价工作质量把关;</w:t>
      </w:r>
    </w:p>
    <w:p w14:paraId="4E0DBA32">
      <w:pPr>
        <w:ind w:firstLine="560"/>
        <w:rPr>
          <w:color w:val="auto"/>
          <w:highlight w:val="none"/>
        </w:rPr>
      </w:pPr>
      <w:r>
        <w:rPr>
          <w:rFonts w:hint="eastAsia"/>
          <w:color w:val="auto"/>
          <w:highlight w:val="none"/>
          <w:lang w:val="en-US" w:eastAsia="zh-CN"/>
        </w:rPr>
        <w:t>曲洁</w:t>
      </w:r>
      <w:r>
        <w:rPr>
          <w:rFonts w:hint="eastAsia"/>
          <w:color w:val="auto"/>
          <w:highlight w:val="none"/>
        </w:rPr>
        <w:t>（评价小组组员）：主要负责现场调研工作，完成收集整理资料、审核数据、填报绩效评价内容等工作。</w:t>
      </w:r>
    </w:p>
    <w:p w14:paraId="072FA9F6">
      <w:pPr>
        <w:pStyle w:val="4"/>
        <w:ind w:firstLine="562"/>
        <w:rPr>
          <w:color w:val="auto"/>
          <w:highlight w:val="none"/>
        </w:rPr>
      </w:pPr>
      <w:r>
        <w:rPr>
          <w:rFonts w:hint="eastAsia"/>
          <w:color w:val="auto"/>
          <w:highlight w:val="none"/>
        </w:rPr>
        <w:t>2.组织实施</w:t>
      </w:r>
    </w:p>
    <w:p w14:paraId="72880729">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58BD0F15">
      <w:pPr>
        <w:pStyle w:val="4"/>
        <w:ind w:firstLine="562"/>
        <w:rPr>
          <w:color w:val="auto"/>
          <w:highlight w:val="none"/>
        </w:rPr>
      </w:pPr>
      <w:r>
        <w:rPr>
          <w:rFonts w:hint="eastAsia"/>
          <w:color w:val="auto"/>
          <w:highlight w:val="none"/>
        </w:rPr>
        <w:t>3.分析评价</w:t>
      </w:r>
    </w:p>
    <w:p w14:paraId="38C4A2B3">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30CC850F">
      <w:pPr>
        <w:pStyle w:val="4"/>
        <w:ind w:firstLine="562"/>
        <w:rPr>
          <w:rFonts w:hint="eastAsia"/>
          <w:color w:val="auto"/>
          <w:highlight w:val="none"/>
        </w:rPr>
      </w:pPr>
      <w:r>
        <w:rPr>
          <w:rFonts w:hint="eastAsia"/>
          <w:color w:val="auto"/>
          <w:highlight w:val="none"/>
        </w:rPr>
        <w:t>4.撰写与提交评价报告</w:t>
      </w:r>
    </w:p>
    <w:p w14:paraId="5C6972F1">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68E16470">
      <w:pPr>
        <w:pStyle w:val="4"/>
        <w:ind w:firstLine="562"/>
        <w:rPr>
          <w:rFonts w:hint="eastAsia"/>
          <w:color w:val="auto"/>
          <w:highlight w:val="none"/>
        </w:rPr>
      </w:pPr>
      <w:r>
        <w:rPr>
          <w:rFonts w:hint="eastAsia"/>
          <w:color w:val="auto"/>
          <w:highlight w:val="none"/>
        </w:rPr>
        <w:t>5.问题整改</w:t>
      </w:r>
    </w:p>
    <w:p w14:paraId="101A3324">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61D4C2EE">
      <w:pPr>
        <w:pStyle w:val="4"/>
        <w:ind w:firstLine="562"/>
        <w:rPr>
          <w:rFonts w:hint="eastAsia"/>
          <w:color w:val="auto"/>
          <w:highlight w:val="none"/>
        </w:rPr>
      </w:pPr>
      <w:r>
        <w:rPr>
          <w:rFonts w:hint="eastAsia"/>
          <w:color w:val="auto"/>
          <w:highlight w:val="none"/>
        </w:rPr>
        <w:t>6.档案整理</w:t>
      </w:r>
    </w:p>
    <w:p w14:paraId="74FFF42C">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69FD7CAE">
      <w:pPr>
        <w:pStyle w:val="2"/>
        <w:numPr>
          <w:ilvl w:val="0"/>
          <w:numId w:val="3"/>
        </w:numPr>
        <w:ind w:firstLine="643"/>
        <w:rPr>
          <w:color w:val="auto"/>
          <w:highlight w:val="none"/>
        </w:rPr>
      </w:pPr>
      <w:r>
        <w:rPr>
          <w:rFonts w:hint="eastAsia"/>
          <w:color w:val="auto"/>
          <w:highlight w:val="none"/>
        </w:rPr>
        <w:t>综合评价情况及评价结论</w:t>
      </w:r>
    </w:p>
    <w:p w14:paraId="707698E5">
      <w:pPr>
        <w:pStyle w:val="3"/>
        <w:ind w:firstLine="643"/>
        <w:rPr>
          <w:rFonts w:hint="eastAsia"/>
          <w:b w:val="0"/>
          <w:color w:val="auto"/>
          <w:highlight w:val="none"/>
        </w:rPr>
      </w:pPr>
      <w:r>
        <w:rPr>
          <w:rFonts w:hint="eastAsia"/>
          <w:color w:val="auto"/>
          <w:highlight w:val="none"/>
        </w:rPr>
        <w:t>（一）综合评价情况</w:t>
      </w:r>
    </w:p>
    <w:p w14:paraId="2118C3FC">
      <w:pPr>
        <w:ind w:firstLine="560"/>
        <w:rPr>
          <w:rFonts w:cs="Times New Roman"/>
          <w:color w:val="auto"/>
          <w:highlight w:val="none"/>
        </w:rPr>
      </w:pPr>
      <w:r>
        <w:rPr>
          <w:rFonts w:hint="eastAsia" w:cs="Times New Roman"/>
          <w:color w:val="auto"/>
          <w:highlight w:val="none"/>
        </w:rPr>
        <w:t>经评价，本</w:t>
      </w:r>
      <w:r>
        <w:rPr>
          <w:rFonts w:hint="eastAsia" w:cs="Times New Roman"/>
          <w:color w:val="auto"/>
          <w:highlight w:val="none"/>
          <w:lang w:val="zh-TW" w:eastAsia="zh-TW"/>
        </w:rPr>
        <w:t>项目</w:t>
      </w:r>
      <w:r>
        <w:rPr>
          <w:rFonts w:hint="eastAsia" w:cs="Times New Roman"/>
          <w:color w:val="auto"/>
          <w:highlight w:val="none"/>
        </w:rPr>
        <w:t>较大程度达成</w:t>
      </w:r>
      <w:r>
        <w:rPr>
          <w:rFonts w:hint="eastAsia" w:cs="Times New Roman"/>
          <w:color w:val="auto"/>
          <w:highlight w:val="none"/>
          <w:lang w:val="zh-TW" w:eastAsia="zh-TW"/>
        </w:rPr>
        <w:t>年初设立的绩效目标年初设立的绩效目标，在实施过程中取得了良好的成效，具体表现在以下</w:t>
      </w:r>
      <w:r>
        <w:rPr>
          <w:rFonts w:hint="eastAsia" w:cs="Times New Roman"/>
          <w:color w:val="auto"/>
          <w:highlight w:val="none"/>
          <w:lang w:val="zh-TW"/>
        </w:rPr>
        <w:t>三</w:t>
      </w:r>
      <w:r>
        <w:rPr>
          <w:rFonts w:hint="eastAsia" w:cs="Times New Roman"/>
          <w:color w:val="auto"/>
          <w:highlight w:val="none"/>
        </w:rPr>
        <w:t>方面</w:t>
      </w:r>
      <w:r>
        <w:rPr>
          <w:rFonts w:hint="eastAsia" w:cs="Times New Roman"/>
          <w:color w:val="auto"/>
          <w:highlight w:val="none"/>
          <w:lang w:val="zh-TW" w:eastAsia="zh-TW"/>
        </w:rPr>
        <w:t>：</w:t>
      </w:r>
    </w:p>
    <w:p w14:paraId="2AA1E33D">
      <w:pPr>
        <w:ind w:firstLine="560"/>
        <w:rPr>
          <w:rFonts w:cs="Times New Roman"/>
          <w:color w:val="auto"/>
          <w:highlight w:val="none"/>
        </w:rPr>
      </w:pPr>
      <w:r>
        <w:rPr>
          <w:rFonts w:hint="eastAsia" w:cs="Times New Roman"/>
          <w:color w:val="auto"/>
          <w:highlight w:val="none"/>
        </w:rPr>
        <w:t>一是：落实非遗保护政策效能，通过开展非遗传承人研修培训、普及展演等活动，系统推进非遗保护传承工作，提升传承人专业能力，扩大非遗文化传播覆盖面；</w:t>
      </w:r>
    </w:p>
    <w:p w14:paraId="4AA01E6B">
      <w:pPr>
        <w:ind w:firstLine="560"/>
        <w:rPr>
          <w:rFonts w:hint="eastAsia" w:cs="Times New Roman"/>
          <w:color w:val="auto"/>
          <w:highlight w:val="none"/>
        </w:rPr>
      </w:pPr>
      <w:r>
        <w:rPr>
          <w:rFonts w:hint="eastAsia" w:cs="Times New Roman"/>
          <w:color w:val="auto"/>
          <w:highlight w:val="none"/>
        </w:rPr>
        <w:t>二是：激发传承主体积极性，在“那达慕”大会中设置赛马、牧人竞技赛、搏克等赛事奖项，有效调动传承人参与热情，培育更多新生传承力量，保障非遗项目活态延续；</w:t>
      </w:r>
    </w:p>
    <w:p w14:paraId="32B3559A">
      <w:pPr>
        <w:ind w:firstLine="560"/>
        <w:rPr>
          <w:rFonts w:hint="eastAsia" w:cs="Times New Roman"/>
          <w:color w:val="auto"/>
          <w:highlight w:val="none"/>
        </w:rPr>
      </w:pPr>
      <w:r>
        <w:rPr>
          <w:rFonts w:hint="eastAsia" w:cs="Times New Roman"/>
          <w:color w:val="auto"/>
          <w:highlight w:val="none"/>
        </w:rPr>
        <w:t>三是：释放文旅融合发展效益，以“那达慕”大会为载体，推动“以文促旅、文体融合”新业态，提升活动知名度，吸引游客前往和静县巴音布鲁克草原，优化游客文旅体验，树立景区优质口碑，助力区域文化旅游经济与社会和谐发展。</w:t>
      </w:r>
    </w:p>
    <w:p w14:paraId="47E54A87">
      <w:pPr>
        <w:pStyle w:val="3"/>
        <w:ind w:left="560" w:leftChars="200" w:firstLine="0" w:firstLineChars="0"/>
        <w:rPr>
          <w:color w:val="auto"/>
          <w:highlight w:val="none"/>
        </w:rPr>
      </w:pPr>
      <w:r>
        <w:rPr>
          <w:rFonts w:hint="eastAsia"/>
          <w:color w:val="auto"/>
          <w:highlight w:val="none"/>
        </w:rPr>
        <w:t>（二）评价结论</w:t>
      </w:r>
    </w:p>
    <w:p w14:paraId="4BDF063D">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w:t>
      </w:r>
      <w:r>
        <w:rPr>
          <w:rFonts w:hint="eastAsia" w:cs="Times New Roman"/>
          <w:color w:val="auto"/>
          <w:highlight w:val="none"/>
          <w:lang w:val="zh-TW" w:eastAsia="zh-TW"/>
        </w:rPr>
        <w:t>标数量</w:t>
      </w:r>
      <w:r>
        <w:rPr>
          <w:rFonts w:hint="eastAsia" w:cs="Times New Roman"/>
          <w:color w:val="auto"/>
          <w:highlight w:val="none"/>
          <w:lang w:val="en-US" w:eastAsia="zh-CN"/>
        </w:rPr>
        <w:t>25</w:t>
      </w:r>
      <w:r>
        <w:rPr>
          <w:rFonts w:hint="eastAsia" w:cs="Times New Roman"/>
          <w:color w:val="auto"/>
          <w:highlight w:val="none"/>
          <w:lang w:val="zh-TW" w:eastAsia="zh-TW"/>
        </w:rPr>
        <w:t>个，实现三级指标数量</w:t>
      </w:r>
      <w:r>
        <w:rPr>
          <w:rFonts w:hint="eastAsia" w:cs="Times New Roman"/>
          <w:color w:val="auto"/>
          <w:highlight w:val="none"/>
          <w:lang w:val="en-US" w:eastAsia="zh-CN"/>
        </w:rPr>
        <w:t>25</w:t>
      </w:r>
      <w:r>
        <w:rPr>
          <w:rFonts w:hint="eastAsia" w:cs="Times New Roman"/>
          <w:color w:val="auto"/>
          <w:highlight w:val="none"/>
          <w:lang w:val="zh-TW" w:eastAsia="zh-TW"/>
        </w:rPr>
        <w:t>个，总体完成率为</w:t>
      </w:r>
      <w:r>
        <w:rPr>
          <w:rFonts w:hint="eastAsia" w:cs="Times New Roman"/>
          <w:color w:val="auto"/>
          <w:highlight w:val="none"/>
          <w:lang w:val="en-US" w:eastAsia="zh-CN"/>
        </w:rPr>
        <w:t>100</w:t>
      </w:r>
      <w:r>
        <w:rPr>
          <w:rFonts w:hint="eastAsia" w:cs="Times New Roman"/>
          <w:color w:val="auto"/>
          <w:highlight w:val="none"/>
          <w:lang w:val="zh-TW" w:eastAsia="zh-TW"/>
        </w:rPr>
        <w:t>%。项目决策类指标共设置6个，满分指标</w:t>
      </w:r>
      <w:r>
        <w:rPr>
          <w:rFonts w:hint="eastAsia" w:cs="Times New Roman"/>
          <w:color w:val="auto"/>
          <w:highlight w:val="none"/>
          <w:lang w:val="en-US" w:eastAsia="zh-CN"/>
        </w:rPr>
        <w:t>6</w:t>
      </w:r>
      <w:r>
        <w:rPr>
          <w:rFonts w:hint="eastAsia" w:cs="Times New Roman"/>
          <w:color w:val="auto"/>
          <w:highlight w:val="none"/>
          <w:lang w:val="zh-TW" w:eastAsia="zh-TW"/>
        </w:rPr>
        <w:t>个，得分率</w:t>
      </w:r>
      <w:r>
        <w:rPr>
          <w:rFonts w:hint="eastAsia" w:cs="Times New Roman"/>
          <w:color w:val="auto"/>
          <w:highlight w:val="none"/>
          <w:lang w:val="en-US" w:eastAsia="zh-CN"/>
        </w:rPr>
        <w:t>100</w:t>
      </w:r>
      <w:r>
        <w:rPr>
          <w:rFonts w:hint="eastAsia" w:cs="Times New Roman"/>
          <w:color w:val="auto"/>
          <w:highlight w:val="none"/>
          <w:lang w:val="zh-TW" w:eastAsia="zh-TW"/>
        </w:rPr>
        <w:t>%；过程管理类指标共设置5个，满分指标</w:t>
      </w:r>
      <w:r>
        <w:rPr>
          <w:rFonts w:hint="eastAsia" w:cs="Times New Roman"/>
          <w:color w:val="auto"/>
          <w:highlight w:val="none"/>
          <w:lang w:val="en-US" w:eastAsia="zh-CN"/>
        </w:rPr>
        <w:t>5</w:t>
      </w:r>
      <w:r>
        <w:rPr>
          <w:rFonts w:hint="eastAsia" w:cs="Times New Roman"/>
          <w:color w:val="auto"/>
          <w:highlight w:val="none"/>
          <w:lang w:val="zh-TW" w:eastAsia="zh-TW"/>
        </w:rPr>
        <w:t>个，得分率</w:t>
      </w:r>
      <w:r>
        <w:rPr>
          <w:rFonts w:hint="eastAsia" w:cs="Times New Roman"/>
          <w:color w:val="auto"/>
          <w:highlight w:val="none"/>
          <w:lang w:val="en-US" w:eastAsia="zh-CN"/>
        </w:rPr>
        <w:t>100</w:t>
      </w:r>
      <w:r>
        <w:rPr>
          <w:rFonts w:hint="eastAsia" w:cs="Times New Roman"/>
          <w:color w:val="auto"/>
          <w:highlight w:val="none"/>
          <w:lang w:val="zh-TW" w:eastAsia="zh-TW"/>
        </w:rPr>
        <w:t>%；项目产出类指标共设置</w:t>
      </w:r>
      <w:r>
        <w:rPr>
          <w:rFonts w:hint="eastAsia" w:cs="Times New Roman"/>
          <w:color w:val="auto"/>
          <w:highlight w:val="none"/>
          <w:lang w:val="en-US" w:eastAsia="zh-CN"/>
        </w:rPr>
        <w:t>8</w:t>
      </w:r>
      <w:r>
        <w:rPr>
          <w:rFonts w:hint="eastAsia" w:cs="Times New Roman"/>
          <w:color w:val="auto"/>
          <w:highlight w:val="none"/>
          <w:lang w:val="zh-TW" w:eastAsia="zh-TW"/>
        </w:rPr>
        <w:t>个，满分指标</w:t>
      </w:r>
      <w:r>
        <w:rPr>
          <w:rFonts w:hint="eastAsia" w:cs="Times New Roman"/>
          <w:color w:val="auto"/>
          <w:highlight w:val="none"/>
          <w:lang w:val="en-US" w:eastAsia="zh-CN"/>
        </w:rPr>
        <w:t>8</w:t>
      </w:r>
      <w:r>
        <w:rPr>
          <w:rFonts w:hint="eastAsia" w:cs="Times New Roman"/>
          <w:color w:val="auto"/>
          <w:highlight w:val="none"/>
          <w:lang w:val="zh-TW" w:eastAsia="zh-TW"/>
        </w:rPr>
        <w:t>个，得分率</w:t>
      </w:r>
      <w:r>
        <w:rPr>
          <w:rFonts w:hint="eastAsia" w:cs="Times New Roman"/>
          <w:color w:val="auto"/>
          <w:highlight w:val="none"/>
          <w:lang w:val="en-US" w:eastAsia="zh-CN"/>
        </w:rPr>
        <w:t>100</w:t>
      </w:r>
      <w:r>
        <w:rPr>
          <w:rFonts w:hint="eastAsia" w:cs="Times New Roman"/>
          <w:color w:val="auto"/>
          <w:highlight w:val="none"/>
          <w:lang w:val="zh-TW" w:eastAsia="zh-TW"/>
        </w:rPr>
        <w:t>%；项目</w:t>
      </w:r>
      <w:r>
        <w:rPr>
          <w:rFonts w:hint="eastAsia" w:cs="Times New Roman"/>
          <w:color w:val="auto"/>
          <w:highlight w:val="none"/>
          <w:lang w:val="en-US" w:eastAsia="zh-CN"/>
        </w:rPr>
        <w:t>成本</w:t>
      </w:r>
      <w:r>
        <w:rPr>
          <w:rFonts w:hint="eastAsia" w:cs="Times New Roman"/>
          <w:color w:val="auto"/>
          <w:highlight w:val="none"/>
          <w:lang w:val="zh-TW" w:eastAsia="zh-TW"/>
        </w:rPr>
        <w:t>类指标共设置</w:t>
      </w:r>
      <w:r>
        <w:rPr>
          <w:rFonts w:hint="eastAsia" w:cs="Times New Roman"/>
          <w:color w:val="auto"/>
          <w:highlight w:val="none"/>
          <w:lang w:val="en-US" w:eastAsia="zh-CN"/>
        </w:rPr>
        <w:t>3</w:t>
      </w:r>
      <w:r>
        <w:rPr>
          <w:rFonts w:hint="eastAsia" w:cs="Times New Roman"/>
          <w:color w:val="auto"/>
          <w:highlight w:val="none"/>
          <w:lang w:val="zh-TW" w:eastAsia="zh-TW"/>
        </w:rPr>
        <w:t>个，满分指标</w:t>
      </w:r>
      <w:r>
        <w:rPr>
          <w:rFonts w:hint="eastAsia" w:cs="Times New Roman"/>
          <w:color w:val="auto"/>
          <w:highlight w:val="none"/>
          <w:lang w:val="en-US" w:eastAsia="zh-CN"/>
        </w:rPr>
        <w:t>3</w:t>
      </w:r>
      <w:r>
        <w:rPr>
          <w:rFonts w:hint="eastAsia" w:cs="Times New Roman"/>
          <w:color w:val="auto"/>
          <w:highlight w:val="none"/>
          <w:lang w:val="zh-TW" w:eastAsia="zh-TW"/>
        </w:rPr>
        <w:t>个，得分率</w:t>
      </w:r>
      <w:r>
        <w:rPr>
          <w:rFonts w:hint="eastAsia" w:cs="Times New Roman"/>
          <w:color w:val="auto"/>
          <w:highlight w:val="none"/>
          <w:lang w:val="en-US" w:eastAsia="zh-CN"/>
        </w:rPr>
        <w:t>100</w:t>
      </w:r>
      <w:r>
        <w:rPr>
          <w:rFonts w:hint="eastAsia" w:cs="Times New Roman"/>
          <w:color w:val="auto"/>
          <w:highlight w:val="none"/>
          <w:lang w:val="zh-TW" w:eastAsia="zh-TW"/>
        </w:rPr>
        <w:t>%</w:t>
      </w:r>
      <w:r>
        <w:rPr>
          <w:rFonts w:hint="eastAsia" w:cs="Times New Roman"/>
          <w:color w:val="auto"/>
          <w:highlight w:val="none"/>
          <w:lang w:val="zh-TW" w:eastAsia="zh-CN"/>
        </w:rPr>
        <w:t>；</w:t>
      </w:r>
      <w:r>
        <w:rPr>
          <w:rFonts w:hint="eastAsia" w:cs="Times New Roman"/>
          <w:color w:val="auto"/>
          <w:highlight w:val="none"/>
          <w:lang w:val="zh-TW" w:eastAsia="zh-TW"/>
        </w:rPr>
        <w:t>项目效益类指标共设置</w:t>
      </w:r>
      <w:r>
        <w:rPr>
          <w:rFonts w:hint="eastAsia" w:cs="Times New Roman"/>
          <w:color w:val="auto"/>
          <w:highlight w:val="none"/>
          <w:lang w:val="en-US" w:eastAsia="zh-CN"/>
        </w:rPr>
        <w:t>3</w:t>
      </w:r>
      <w:r>
        <w:rPr>
          <w:rFonts w:hint="eastAsia" w:cs="Times New Roman"/>
          <w:color w:val="auto"/>
          <w:highlight w:val="none"/>
          <w:lang w:val="zh-TW" w:eastAsia="zh-TW"/>
        </w:rPr>
        <w:t>个，满分指标</w:t>
      </w:r>
      <w:r>
        <w:rPr>
          <w:rFonts w:hint="eastAsia" w:cs="Times New Roman"/>
          <w:color w:val="auto"/>
          <w:highlight w:val="none"/>
          <w:lang w:val="en-US" w:eastAsia="zh-CN"/>
        </w:rPr>
        <w:t>3</w:t>
      </w:r>
      <w:r>
        <w:rPr>
          <w:rFonts w:hint="eastAsia" w:cs="Times New Roman"/>
          <w:color w:val="auto"/>
          <w:highlight w:val="none"/>
          <w:lang w:val="zh-TW" w:eastAsia="zh-TW"/>
        </w:rPr>
        <w:t>个，得</w:t>
      </w:r>
      <w:r>
        <w:rPr>
          <w:rFonts w:hint="eastAsia"/>
          <w:color w:val="auto"/>
          <w:highlight w:val="none"/>
          <w:lang w:val="zh-TW" w:eastAsia="zh-TW"/>
        </w:rPr>
        <w:t>分率</w:t>
      </w:r>
      <w:r>
        <w:rPr>
          <w:rFonts w:hint="eastAsia" w:cs="Times New Roman"/>
          <w:color w:val="auto"/>
          <w:highlight w:val="none"/>
          <w:lang w:val="en-US" w:eastAsia="zh-CN"/>
        </w:rPr>
        <w:t>100</w:t>
      </w:r>
      <w:r>
        <w:rPr>
          <w:rFonts w:hint="eastAsia" w:cs="Times New Roman"/>
          <w:color w:val="auto"/>
          <w:highlight w:val="none"/>
          <w:lang w:val="zh-TW" w:eastAsia="zh-TW"/>
        </w:rPr>
        <w:t>%</w:t>
      </w:r>
      <w:r>
        <w:rPr>
          <w:rFonts w:hint="eastAsia" w:cs="Times New Roman"/>
          <w:color w:val="auto"/>
          <w:highlight w:val="none"/>
          <w:lang w:val="zh-TW" w:eastAsia="zh-CN"/>
        </w:rPr>
        <w:t>，详</w:t>
      </w:r>
      <w:r>
        <w:rPr>
          <w:rFonts w:hint="eastAsia"/>
          <w:color w:val="auto"/>
          <w:highlight w:val="none"/>
          <w:lang w:val="zh-TW" w:eastAsia="zh-CN"/>
        </w:rPr>
        <w:t>细情况见“附件2：项目综合得分表”。</w:t>
      </w:r>
    </w:p>
    <w:p w14:paraId="20158EFE">
      <w:pPr>
        <w:pStyle w:val="2"/>
        <w:numPr>
          <w:ilvl w:val="0"/>
          <w:numId w:val="3"/>
        </w:numPr>
        <w:ind w:firstLine="643"/>
        <w:rPr>
          <w:color w:val="auto"/>
          <w:highlight w:val="none"/>
        </w:rPr>
      </w:pPr>
      <w:r>
        <w:rPr>
          <w:rFonts w:hint="eastAsia"/>
          <w:color w:val="auto"/>
          <w:highlight w:val="none"/>
        </w:rPr>
        <w:t>绩效评价指标分析</w:t>
      </w:r>
    </w:p>
    <w:p w14:paraId="53689319">
      <w:pPr>
        <w:pStyle w:val="3"/>
        <w:ind w:firstLine="643"/>
        <w:rPr>
          <w:color w:val="auto"/>
          <w:highlight w:val="none"/>
        </w:rPr>
      </w:pPr>
      <w:r>
        <w:rPr>
          <w:rFonts w:hint="eastAsia"/>
          <w:color w:val="auto"/>
          <w:highlight w:val="none"/>
        </w:rPr>
        <w:t>（一）项目决策情况</w:t>
      </w:r>
    </w:p>
    <w:p w14:paraId="0D87B127">
      <w:pPr>
        <w:ind w:firstLine="560"/>
        <w:rPr>
          <w:rFonts w:hint="eastAsia" w:cs="Times New Roman"/>
          <w:color w:val="auto"/>
          <w:highlight w:val="none"/>
          <w:lang w:val="zh-TW" w:eastAsia="zh-CN"/>
        </w:rPr>
      </w:pPr>
      <w:r>
        <w:rPr>
          <w:rFonts w:hint="eastAsia" w:cs="Times New Roman"/>
          <w:color w:val="auto"/>
          <w:highlight w:val="none"/>
          <w:lang w:val="zh-TW" w:eastAsia="zh-CN"/>
        </w:rPr>
        <w:t>项目决策类指标由3个二级指标和6个三级指标构成，权重分21分，实际得分</w:t>
      </w:r>
      <w:r>
        <w:rPr>
          <w:rFonts w:hint="eastAsia" w:cs="Times New Roman"/>
          <w:color w:val="auto"/>
          <w:highlight w:val="none"/>
          <w:lang w:val="en-US" w:eastAsia="zh-CN"/>
        </w:rPr>
        <w:t>21</w:t>
      </w:r>
      <w:r>
        <w:rPr>
          <w:rFonts w:hint="eastAsia" w:cs="Times New Roman"/>
          <w:color w:val="auto"/>
          <w:highlight w:val="none"/>
          <w:lang w:val="zh-TW" w:eastAsia="zh-CN"/>
        </w:rPr>
        <w:t>分。</w:t>
      </w:r>
    </w:p>
    <w:p w14:paraId="3A431B0F">
      <w:pPr>
        <w:pStyle w:val="4"/>
        <w:ind w:firstLine="562"/>
        <w:rPr>
          <w:color w:val="auto"/>
          <w:highlight w:val="none"/>
        </w:rPr>
      </w:pPr>
      <w:r>
        <w:rPr>
          <w:rFonts w:hint="eastAsia"/>
          <w:color w:val="auto"/>
          <w:highlight w:val="none"/>
        </w:rPr>
        <w:t>1.项目立项情况分析</w:t>
      </w:r>
    </w:p>
    <w:p w14:paraId="014D318C">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4F23B437">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国务院</w:t>
      </w:r>
      <w:r>
        <w:rPr>
          <w:rFonts w:hint="eastAsia"/>
          <w:color w:val="auto"/>
          <w:highlight w:val="none"/>
          <w:lang w:eastAsia="zh-Hans"/>
        </w:rPr>
        <w:t>颁发的</w:t>
      </w:r>
      <w:r>
        <w:rPr>
          <w:rFonts w:hint="eastAsia"/>
          <w:color w:val="auto"/>
          <w:highlight w:val="none"/>
          <w:lang w:val="en-US" w:eastAsia="zh-CN"/>
        </w:rPr>
        <w:t>《关于加强文化遗产保护的通知》</w:t>
      </w:r>
      <w:r>
        <w:rPr>
          <w:rFonts w:hint="eastAsia"/>
          <w:color w:val="auto"/>
          <w:highlight w:val="none"/>
          <w:lang w:val="en-US" w:eastAsia="zh-Hans"/>
        </w:rPr>
        <w:t>中</w:t>
      </w:r>
      <w:r>
        <w:rPr>
          <w:rFonts w:hint="eastAsia"/>
          <w:color w:val="auto"/>
          <w:highlight w:val="none"/>
          <w:lang w:val="en-US" w:eastAsia="zh-CN"/>
        </w:rPr>
        <w:t>：“保护为主、抢救第一、合理利用、传承发展”</w:t>
      </w:r>
      <w:r>
        <w:rPr>
          <w:rFonts w:hint="eastAsia"/>
          <w:color w:val="auto"/>
          <w:highlight w:val="none"/>
        </w:rPr>
        <w:t>；本项目</w:t>
      </w:r>
      <w:r>
        <w:rPr>
          <w:rFonts w:hint="eastAsia"/>
          <w:color w:val="auto"/>
          <w:highlight w:val="none"/>
          <w:lang w:eastAsia="zh-Hans"/>
        </w:rPr>
        <w:t>立项符合《</w:t>
      </w:r>
      <w:r>
        <w:rPr>
          <w:rFonts w:hint="eastAsia"/>
          <w:color w:val="auto"/>
          <w:highlight w:val="none"/>
          <w:lang w:val="en-US" w:eastAsia="zh-CN"/>
        </w:rPr>
        <w:t>国家非物质文化遗产保护资金管理办法</w:t>
      </w:r>
      <w:r>
        <w:rPr>
          <w:rFonts w:hint="eastAsia"/>
          <w:color w:val="auto"/>
          <w:highlight w:val="none"/>
          <w:lang w:eastAsia="zh-Hans" w:bidi="ar"/>
        </w:rPr>
        <w:t>》</w:t>
      </w:r>
      <w:r>
        <w:rPr>
          <w:rFonts w:hint="eastAsia"/>
          <w:color w:val="auto"/>
          <w:highlight w:val="none"/>
          <w:lang w:eastAsia="zh-Hans"/>
        </w:rPr>
        <w:t>中</w:t>
      </w:r>
      <w:r>
        <w:rPr>
          <w:rFonts w:hint="eastAsia"/>
          <w:color w:val="auto"/>
          <w:highlight w:val="none"/>
        </w:rPr>
        <w:t>：“</w:t>
      </w:r>
      <w:r>
        <w:rPr>
          <w:rFonts w:hint="eastAsia"/>
          <w:color w:val="auto"/>
          <w:highlight w:val="none"/>
          <w:lang w:val="en-US" w:eastAsia="zh-CN"/>
        </w:rPr>
        <w:t>2023年自治区财政拨付下达资金用于支持自治区非物质文化遗产保护工作</w:t>
      </w:r>
      <w:r>
        <w:rPr>
          <w:rFonts w:hint="eastAsia"/>
          <w:color w:val="auto"/>
          <w:highlight w:val="none"/>
        </w:rPr>
        <w:t>”</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和静县东归文化馆</w:t>
      </w:r>
      <w:r>
        <w:rPr>
          <w:rFonts w:hint="eastAsia"/>
          <w:color w:val="auto"/>
          <w:highlight w:val="none"/>
          <w:lang w:eastAsia="zh-Hans"/>
        </w:rPr>
        <w:t>配置内设机构和人员编制规定》中职责范围中的“推动非物质文化遗产的挖掘、传承、普及和非遗产业开发利用”属于我单位履职所需；根据《财政资金直接支付申请书》，本项目资金性质为“公共财政预算”功能分类为“</w:t>
      </w:r>
      <w:r>
        <w:rPr>
          <w:rFonts w:hint="eastAsia"/>
          <w:color w:val="auto"/>
          <w:highlight w:val="none"/>
          <w:lang w:val="en-US" w:eastAsia="zh-CN"/>
        </w:rPr>
        <w:t>2070205</w:t>
      </w:r>
      <w:r>
        <w:rPr>
          <w:rFonts w:hint="eastAsia"/>
          <w:color w:val="auto"/>
          <w:highlight w:val="none"/>
          <w:lang w:eastAsia="zh-Hans"/>
        </w:rPr>
        <w:t>”经济分类为“</w:t>
      </w:r>
      <w:r>
        <w:rPr>
          <w:rFonts w:hint="eastAsia"/>
          <w:color w:val="auto"/>
          <w:highlight w:val="none"/>
          <w:lang w:val="en-US" w:eastAsia="zh-CN"/>
        </w:rPr>
        <w:t>50901,30305</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2BD7639E">
      <w:pPr>
        <w:ind w:firstLine="560"/>
        <w:rPr>
          <w:rFonts w:hint="eastAsia" w:cs="Times New Roman"/>
          <w:color w:val="auto"/>
          <w:highlight w:val="none"/>
          <w:lang w:eastAsia="zh-Hans"/>
        </w:rPr>
      </w:pPr>
      <w:r>
        <w:rPr>
          <w:rFonts w:hint="eastAsia" w:cs="Times New Roman"/>
          <w:color w:val="auto"/>
          <w:highlight w:val="none"/>
          <w:lang w:eastAsia="zh-Hans"/>
        </w:rPr>
        <w:t>综上所述，本指标满分为5分，根据评分标准得</w:t>
      </w:r>
      <w:r>
        <w:rPr>
          <w:rFonts w:hint="eastAsia" w:cs="Times New Roman"/>
          <w:color w:val="auto"/>
          <w:highlight w:val="none"/>
          <w:lang w:val="en-US" w:eastAsia="zh-CN"/>
        </w:rPr>
        <w:t>5</w:t>
      </w:r>
      <w:r>
        <w:rPr>
          <w:rFonts w:hint="eastAsia" w:cs="Times New Roman"/>
          <w:color w:val="auto"/>
          <w:highlight w:val="none"/>
          <w:lang w:eastAsia="zh-Hans"/>
        </w:rPr>
        <w:t>分，本项目立项依据</w:t>
      </w:r>
      <w:r>
        <w:rPr>
          <w:rFonts w:hint="eastAsia" w:cs="Times New Roman"/>
          <w:color w:val="auto"/>
          <w:highlight w:val="none"/>
          <w:lang w:val="en-US" w:eastAsia="zh-CN"/>
        </w:rPr>
        <w:t>较</w:t>
      </w:r>
      <w:r>
        <w:rPr>
          <w:rFonts w:hint="eastAsia" w:cs="Times New Roman"/>
          <w:color w:val="auto"/>
          <w:highlight w:val="none"/>
          <w:lang w:eastAsia="zh-Hans"/>
        </w:rPr>
        <w:t>充分。</w:t>
      </w:r>
    </w:p>
    <w:p w14:paraId="23259D23">
      <w:pPr>
        <w:ind w:firstLine="562"/>
        <w:rPr>
          <w:b/>
          <w:bCs/>
          <w:color w:val="auto"/>
          <w:highlight w:val="none"/>
        </w:rPr>
      </w:pPr>
      <w:r>
        <w:rPr>
          <w:rFonts w:hint="eastAsia"/>
          <w:b/>
          <w:bCs/>
          <w:color w:val="auto"/>
          <w:highlight w:val="none"/>
        </w:rPr>
        <w:t>（2）立项程序规范性</w:t>
      </w:r>
    </w:p>
    <w:p w14:paraId="28508B75">
      <w:pPr>
        <w:ind w:firstLine="560"/>
        <w:rPr>
          <w:rFonts w:hint="eastAsia" w:eastAsia="仿宋_GB2312"/>
          <w:color w:val="auto"/>
          <w:highlight w:val="none"/>
          <w:lang w:eastAsia="zh-CN"/>
        </w:rPr>
      </w:pPr>
      <w:r>
        <w:rPr>
          <w:rFonts w:hint="eastAsia"/>
          <w:color w:val="auto"/>
          <w:highlight w:val="none"/>
        </w:rPr>
        <w:t>本项目为使中国的非物质文化遗产保护工作规范化，国务院发布《关于加强文化遗产保护的通知》，并制定“国家 + 省 + 市 + 县”共4级保护体系，要求各地方和各有关部门贯彻“保护为主、抢救第一、合理利用、传承发展”的工作方针，切实做好非物质文化遗产的保护、管理和合理利用工作。，项目立项过程中产生的文件均符合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中央专项</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20</w:t>
      </w:r>
      <w:r>
        <w:rPr>
          <w:rFonts w:hint="eastAsia"/>
          <w:color w:val="auto"/>
          <w:highlight w:val="none"/>
          <w:lang w:eastAsia="zh-Hans"/>
        </w:rPr>
        <w:t>万元，不涉及</w:t>
      </w:r>
      <w:r>
        <w:rPr>
          <w:rFonts w:hint="eastAsia"/>
          <w:color w:val="auto"/>
          <w:highlight w:val="none"/>
        </w:rPr>
        <w:t>事前绩效评估和风险评估</w:t>
      </w:r>
      <w:r>
        <w:rPr>
          <w:rFonts w:hint="eastAsia"/>
          <w:color w:val="auto"/>
          <w:highlight w:val="none"/>
          <w:lang w:eastAsia="zh-CN"/>
        </w:rPr>
        <w:t>，</w:t>
      </w:r>
      <w:r>
        <w:rPr>
          <w:rFonts w:hint="eastAsia"/>
          <w:color w:val="auto"/>
          <w:highlight w:val="none"/>
        </w:rPr>
        <w:t>事前已经过必要的可行性研究、专家论证、集体决策</w:t>
      </w:r>
      <w:r>
        <w:rPr>
          <w:rFonts w:hint="eastAsia"/>
          <w:color w:val="auto"/>
          <w:highlight w:val="none"/>
          <w:lang w:eastAsia="zh-CN"/>
        </w:rPr>
        <w:t>。</w:t>
      </w:r>
    </w:p>
    <w:p w14:paraId="589B75AA">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288874BC">
      <w:pPr>
        <w:pStyle w:val="4"/>
        <w:ind w:firstLine="562"/>
        <w:rPr>
          <w:color w:val="auto"/>
          <w:highlight w:val="none"/>
        </w:rPr>
      </w:pPr>
      <w:r>
        <w:rPr>
          <w:rFonts w:hint="eastAsia"/>
          <w:color w:val="auto"/>
          <w:highlight w:val="none"/>
        </w:rPr>
        <w:t>2.绩效目标情况分析</w:t>
      </w:r>
    </w:p>
    <w:p w14:paraId="024B53F9">
      <w:pPr>
        <w:ind w:firstLine="562"/>
        <w:rPr>
          <w:b/>
          <w:bCs/>
          <w:color w:val="auto"/>
          <w:highlight w:val="none"/>
        </w:rPr>
      </w:pPr>
      <w:r>
        <w:rPr>
          <w:rFonts w:hint="eastAsia"/>
          <w:b/>
          <w:bCs/>
          <w:color w:val="auto"/>
          <w:highlight w:val="none"/>
        </w:rPr>
        <w:t>（1）绩效目标合理性</w:t>
      </w:r>
    </w:p>
    <w:p w14:paraId="108B082E">
      <w:pPr>
        <w:ind w:firstLine="560"/>
        <w:rPr>
          <w:rFonts w:hint="eastAsia" w:cs="Times New Roman"/>
          <w:color w:val="auto"/>
          <w:highlight w:val="none"/>
          <w:lang w:eastAsia="zh-Hans"/>
        </w:rPr>
      </w:pPr>
      <w:r>
        <w:rPr>
          <w:rFonts w:hint="eastAsia"/>
          <w:color w:val="auto"/>
          <w:highlight w:val="none"/>
        </w:rPr>
        <w:t>本项目已设置年度绩效目标，具体内容为“</w:t>
      </w:r>
      <w:r>
        <w:rPr>
          <w:rFonts w:hint="eastAsia"/>
          <w:color w:val="auto"/>
          <w:highlight w:val="none"/>
          <w:lang w:val="en-US" w:eastAsia="zh-CN"/>
        </w:rPr>
        <w:t>1.</w:t>
      </w:r>
      <w:r>
        <w:rPr>
          <w:rFonts w:hint="eastAsia"/>
          <w:color w:val="auto"/>
          <w:highlight w:val="none"/>
        </w:rPr>
        <w:t>补助1个国家级非遗代表性项目；举办一场非遗文化普及及教育活动；非遗文化外出交流展演天数不少于5天</w:t>
      </w:r>
      <w:r>
        <w:rPr>
          <w:rFonts w:hint="eastAsia"/>
          <w:color w:val="auto"/>
          <w:highlight w:val="none"/>
          <w:lang w:eastAsia="zh-CN"/>
        </w:rPr>
        <w:t>；</w:t>
      </w:r>
      <w:r>
        <w:rPr>
          <w:rFonts w:hint="eastAsia"/>
          <w:color w:val="auto"/>
          <w:highlight w:val="none"/>
          <w:lang w:val="en-US" w:eastAsia="zh-CN"/>
        </w:rPr>
        <w:t>2.</w:t>
      </w:r>
      <w:r>
        <w:rPr>
          <w:rFonts w:hint="eastAsia"/>
          <w:color w:val="auto"/>
          <w:highlight w:val="none"/>
        </w:rPr>
        <w:t>贯彻落实党中央、自治区党委关于加强文化遗产工作要求，紧紧围绕社会稳定和长治久安总目标，以发掘、保护、研究、利用为重点，充分发挥文化遗产的保护提高群众鉴赏能力、提高各族群众思想道德和科学文化素质的作用，不断强化文化遗产保护工作和宣传教育功能，2023年国家非物质文化遗产保护资金用于开展“那达慕”活动，丰富群众文化知识，不断弘扬传承优秀传统文化，大力培育社会主义核心价值观，有效保障各族群众精神文化需求，促进社会和谐发展。”本项目实际工作为：已完成补助国家级非遗代表性项目1个、举办非遗文化普及及教育活动10场次、非遗文化外出交流展演5天，达到了保障各族群众精神文化需求，</w:t>
      </w:r>
      <w:r>
        <w:rPr>
          <w:rFonts w:hint="eastAsia"/>
          <w:color w:val="auto"/>
          <w:highlight w:val="none"/>
          <w:lang w:eastAsia="zh-CN"/>
        </w:rPr>
        <w:t>非遗保护与传承活动受益公众满意度满意度达到100%</w:t>
      </w:r>
      <w:r>
        <w:rPr>
          <w:rFonts w:hint="eastAsia"/>
          <w:color w:val="auto"/>
          <w:highlight w:val="none"/>
        </w:rPr>
        <w:t>。绩效目标</w:t>
      </w:r>
      <w:r>
        <w:rPr>
          <w:rFonts w:hint="eastAsia" w:cs="Times New Roman"/>
          <w:color w:val="auto"/>
          <w:highlight w:val="none"/>
        </w:rPr>
        <w:t>与实际工作内容一致，两者具有相关性;本项目</w:t>
      </w:r>
      <w:r>
        <w:rPr>
          <w:rFonts w:hint="eastAsia" w:cs="Times New Roman"/>
          <w:color w:val="auto"/>
          <w:highlight w:val="none"/>
          <w:lang w:eastAsia="zh-Hans"/>
        </w:rPr>
        <w:t>按照绩效目标完成数量指标、质量指标、时效指标、成本指标，有效保障了</w:t>
      </w:r>
      <w:r>
        <w:rPr>
          <w:rFonts w:hint="eastAsia" w:cs="Times New Roman"/>
          <w:color w:val="auto"/>
          <w:highlight w:val="none"/>
        </w:rPr>
        <w:t>非遗传承人传播覆盖人群增长、增强非遗保护传承氛围</w:t>
      </w:r>
      <w:r>
        <w:rPr>
          <w:rFonts w:hint="eastAsia" w:cs="Times New Roman"/>
          <w:color w:val="auto"/>
          <w:highlight w:val="none"/>
          <w:lang w:eastAsia="zh-Hans"/>
        </w:rPr>
        <w:t>，年度绩效目标完成，预期产出效益和效果符合正常的业绩水平。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lang w:val="en-US" w:eastAsia="zh-CN"/>
        </w:rPr>
        <w:t>20</w:t>
      </w:r>
      <w:r>
        <w:rPr>
          <w:color w:val="auto"/>
          <w:highlight w:val="none"/>
        </w:rPr>
        <w:t>万元，《财政项目支出绩效目标表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lang w:val="en-US" w:eastAsia="zh-CN"/>
        </w:rPr>
        <w:t>20</w:t>
      </w:r>
      <w:r>
        <w:rPr>
          <w:color w:val="auto"/>
          <w:highlight w:val="none"/>
        </w:rPr>
        <w:t>万元，</w:t>
      </w:r>
      <w:r>
        <w:rPr>
          <w:rFonts w:hint="eastAsia"/>
          <w:color w:val="auto"/>
          <w:highlight w:val="none"/>
        </w:rPr>
        <w:t>预算确定的项目资金与预算确定的</w:t>
      </w:r>
      <w:r>
        <w:rPr>
          <w:rFonts w:hint="eastAsia"/>
          <w:color w:val="auto"/>
          <w:highlight w:val="none"/>
          <w:lang w:val="en-US" w:eastAsia="zh-CN"/>
        </w:rPr>
        <w:t>项目投资额相匹配。</w:t>
      </w:r>
    </w:p>
    <w:p w14:paraId="2C1223E8">
      <w:pPr>
        <w:ind w:firstLine="560"/>
        <w:rPr>
          <w:rFonts w:hint="eastAsia" w:cs="Times New Roman"/>
          <w:color w:val="auto"/>
          <w:highlight w:val="none"/>
          <w:lang w:eastAsia="zh-Hans"/>
        </w:rPr>
      </w:pPr>
      <w:r>
        <w:rPr>
          <w:rFonts w:hint="eastAsia" w:cs="Times New Roman"/>
          <w:color w:val="auto"/>
          <w:highlight w:val="none"/>
        </w:rPr>
        <w:t>综上所述，本</w:t>
      </w:r>
      <w:r>
        <w:rPr>
          <w:rFonts w:hint="eastAsia" w:cs="Times New Roman"/>
          <w:color w:val="auto"/>
          <w:highlight w:val="none"/>
          <w:lang w:eastAsia="zh-Hans"/>
        </w:rPr>
        <w:t>指标满分为</w:t>
      </w:r>
      <w:r>
        <w:rPr>
          <w:rFonts w:hint="eastAsia" w:cs="Times New Roman"/>
          <w:color w:val="auto"/>
          <w:highlight w:val="none"/>
        </w:rPr>
        <w:t>4</w:t>
      </w:r>
      <w:r>
        <w:rPr>
          <w:rFonts w:hint="eastAsia" w:cs="Times New Roman"/>
          <w:color w:val="auto"/>
          <w:highlight w:val="none"/>
          <w:lang w:eastAsia="zh-Hans"/>
        </w:rPr>
        <w:t>分，根据评分标准得</w:t>
      </w:r>
      <w:r>
        <w:rPr>
          <w:rFonts w:hint="eastAsia" w:cs="Times New Roman"/>
          <w:color w:val="auto"/>
          <w:highlight w:val="none"/>
          <w:lang w:val="en-US" w:eastAsia="zh-CN"/>
        </w:rPr>
        <w:t>4</w:t>
      </w:r>
      <w:r>
        <w:rPr>
          <w:rFonts w:hint="eastAsia" w:cs="Times New Roman"/>
          <w:color w:val="auto"/>
          <w:highlight w:val="none"/>
          <w:lang w:eastAsia="zh-Hans"/>
        </w:rPr>
        <w:t>分</w:t>
      </w:r>
      <w:r>
        <w:rPr>
          <w:rFonts w:hint="eastAsia" w:cs="Times New Roman"/>
          <w:color w:val="auto"/>
          <w:highlight w:val="none"/>
        </w:rPr>
        <w:t>，本项目绩效目标设置合理。</w:t>
      </w:r>
    </w:p>
    <w:p w14:paraId="1429787A">
      <w:pPr>
        <w:ind w:firstLine="562"/>
        <w:rPr>
          <w:b/>
          <w:bCs/>
          <w:color w:val="auto"/>
          <w:highlight w:val="none"/>
        </w:rPr>
      </w:pPr>
      <w:r>
        <w:rPr>
          <w:rFonts w:hint="eastAsia"/>
          <w:b/>
          <w:bCs/>
          <w:color w:val="auto"/>
          <w:highlight w:val="none"/>
        </w:rPr>
        <w:t>（2）绩效指标明确性</w:t>
      </w:r>
    </w:p>
    <w:p w14:paraId="1120317B">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14</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13</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92.86</w:t>
      </w:r>
      <w:r>
        <w:rPr>
          <w:rFonts w:hint="eastAsia"/>
          <w:color w:val="auto"/>
          <w:highlight w:val="none"/>
          <w:lang w:eastAsia="zh-Hans"/>
        </w:rPr>
        <w:t>%，量化率达70%以上</w:t>
      </w:r>
      <w:r>
        <w:rPr>
          <w:rFonts w:hint="eastAsia"/>
          <w:color w:val="auto"/>
          <w:highlight w:val="none"/>
        </w:rPr>
        <w:t>。</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通过清晰、可衡量的指标值予以体现；三级指标的年度指标值与年度绩效目标中任务数一致。</w:t>
      </w:r>
    </w:p>
    <w:p w14:paraId="7FF2784C">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60C78B81">
      <w:pPr>
        <w:pStyle w:val="4"/>
        <w:ind w:firstLine="562"/>
        <w:rPr>
          <w:color w:val="auto"/>
          <w:highlight w:val="none"/>
        </w:rPr>
      </w:pPr>
      <w:r>
        <w:rPr>
          <w:rFonts w:hint="eastAsia"/>
          <w:color w:val="auto"/>
          <w:highlight w:val="none"/>
        </w:rPr>
        <w:t>3.资金投入情况分析</w:t>
      </w:r>
    </w:p>
    <w:p w14:paraId="2AC6B192">
      <w:pPr>
        <w:ind w:firstLine="562"/>
        <w:rPr>
          <w:b/>
          <w:bCs/>
          <w:color w:val="auto"/>
          <w:highlight w:val="none"/>
          <w:lang w:eastAsia="zh-Hans" w:bidi="ar"/>
        </w:rPr>
      </w:pPr>
      <w:r>
        <w:rPr>
          <w:rFonts w:hint="eastAsia"/>
          <w:b/>
          <w:bCs/>
          <w:color w:val="auto"/>
          <w:highlight w:val="none"/>
          <w:lang w:eastAsia="zh-Hans" w:bidi="ar"/>
        </w:rPr>
        <w:t>（1）预算编制科学性</w:t>
      </w:r>
    </w:p>
    <w:p w14:paraId="049577C7">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eastAsia="zh-CN" w:bidi="ar"/>
        </w:rPr>
        <w:t>预算编制通过市场调查询价</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677950A6">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bidi="ar"/>
        </w:rPr>
        <w:t>国家级非物质文化遗产名录是经中华人民共和国国务院批准，由文化部确定并公布的非物质文化遗产名录</w:t>
      </w:r>
      <w:r>
        <w:rPr>
          <w:rFonts w:hint="eastAsia"/>
          <w:color w:val="auto"/>
          <w:highlight w:val="none"/>
          <w:lang w:eastAsia="zh-Hans" w:bidi="ar"/>
        </w:rPr>
        <w:t>，项目实际内容为</w:t>
      </w:r>
      <w:r>
        <w:rPr>
          <w:rFonts w:hint="eastAsia"/>
          <w:color w:val="auto"/>
          <w:highlight w:val="none"/>
          <w:lang w:bidi="ar"/>
        </w:rPr>
        <w:t>补助1个国家级非遗代表性项目；举办一场非遗文化普及及教育活动；非遗文化外出交流展演天数不少于5天；贯彻落实党中央、自治区党委关于加强文化遗产工作要求，紧紧围绕社会稳定和长治久安总目标，以发掘、保护、研究、利用为重点，充分发挥文化遗产的保护提高群众鉴赏能力、提高各族群众思想道德和科学文化素质的作用，不断强化文化遗产保护工作和宣传教育功能，</w:t>
      </w:r>
      <w:r>
        <w:rPr>
          <w:rFonts w:hint="eastAsia"/>
          <w:color w:val="auto"/>
          <w:highlight w:val="none"/>
          <w:lang w:val="en-US" w:eastAsia="zh-CN" w:bidi="ar"/>
        </w:rPr>
        <w:t>2024年</w:t>
      </w:r>
      <w:r>
        <w:rPr>
          <w:rFonts w:hint="eastAsia"/>
          <w:color w:val="auto"/>
          <w:highlight w:val="none"/>
          <w:lang w:bidi="ar"/>
        </w:rPr>
        <w:t>国家非物质文化遗产保护资金用于开展“那达慕”活动，丰富群众文化知识，不断弘扬传承优秀传统文化，大力培育社会主义核心价值观，有效保障各族群众精神文化需求，促进社会和谐发展。</w:t>
      </w:r>
      <w:r>
        <w:rPr>
          <w:rFonts w:hint="eastAsia"/>
          <w:color w:val="auto"/>
          <w:highlight w:val="none"/>
          <w:lang w:eastAsia="zh-Hans" w:bidi="ar"/>
        </w:rPr>
        <w:t>，预算申请与《</w:t>
      </w:r>
      <w:r>
        <w:rPr>
          <w:rFonts w:hint="eastAsia"/>
          <w:color w:val="auto"/>
          <w:highlight w:val="none"/>
          <w:lang w:bidi="ar"/>
        </w:rPr>
        <w:t>国家非物质文化遗产保护资金管理办法</w:t>
      </w:r>
      <w:r>
        <w:rPr>
          <w:rFonts w:hint="eastAsia"/>
          <w:color w:val="auto"/>
          <w:highlight w:val="none"/>
          <w:lang w:eastAsia="zh-Hans" w:bidi="ar"/>
        </w:rPr>
        <w:t>》中涉及的项目内容匹配</w:t>
      </w:r>
      <w:r>
        <w:rPr>
          <w:rFonts w:hint="eastAsia"/>
          <w:color w:val="auto"/>
          <w:highlight w:val="none"/>
          <w:lang w:bidi="ar"/>
        </w:rPr>
        <w:t>；</w:t>
      </w:r>
    </w:p>
    <w:p w14:paraId="3E839E5A">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20</w:t>
      </w:r>
      <w:r>
        <w:rPr>
          <w:rFonts w:hint="eastAsia"/>
          <w:color w:val="auto"/>
          <w:highlight w:val="none"/>
        </w:rPr>
        <w:t>万元，我单位在预算申请中严格按照单位标准和数量进行核算，其中：非遗保护项目支出5万元</w:t>
      </w:r>
      <w:r>
        <w:rPr>
          <w:rFonts w:hint="eastAsia"/>
          <w:color w:val="auto"/>
          <w:highlight w:val="none"/>
          <w:lang w:eastAsia="zh-CN"/>
        </w:rPr>
        <w:t>、</w:t>
      </w:r>
      <w:r>
        <w:rPr>
          <w:rFonts w:hint="eastAsia"/>
          <w:color w:val="auto"/>
          <w:highlight w:val="none"/>
        </w:rPr>
        <w:t>非遗文化普及活动支出5万元</w:t>
      </w:r>
      <w:r>
        <w:rPr>
          <w:rFonts w:hint="eastAsia"/>
          <w:color w:val="auto"/>
          <w:highlight w:val="none"/>
          <w:lang w:eastAsia="zh-CN"/>
        </w:rPr>
        <w:t>、</w:t>
      </w:r>
      <w:r>
        <w:rPr>
          <w:rFonts w:hint="eastAsia"/>
          <w:color w:val="auto"/>
          <w:highlight w:val="none"/>
        </w:rPr>
        <w:t>非遗文化展演支出10万元。本项目预算额度测算依据充分，严格按照标准编制，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006E1502">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4B4C84D9">
      <w:pPr>
        <w:ind w:firstLine="562"/>
        <w:rPr>
          <w:b/>
          <w:bCs/>
          <w:color w:val="auto"/>
          <w:highlight w:val="none"/>
        </w:rPr>
      </w:pPr>
      <w:r>
        <w:rPr>
          <w:rFonts w:hint="eastAsia"/>
          <w:b/>
          <w:bCs/>
          <w:color w:val="auto"/>
          <w:highlight w:val="none"/>
        </w:rPr>
        <w:t>（2）资金分配合理性</w:t>
      </w:r>
    </w:p>
    <w:p w14:paraId="22D292AD">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val="en-US" w:eastAsia="zh-CN" w:bidi="ar"/>
        </w:rPr>
        <w:t>2024非物质文化遗产</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val="en-US" w:eastAsia="zh-CN" w:bidi="ar"/>
        </w:rPr>
        <w:t>非物质文化遗产项</w:t>
      </w:r>
      <w:r>
        <w:rPr>
          <w:rFonts w:hint="eastAsia"/>
          <w:color w:val="auto"/>
          <w:highlight w:val="none"/>
          <w:lang w:bidi="ar"/>
        </w:rPr>
        <w:t>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val="en-US" w:eastAsia="zh-CN" w:bidi="ar"/>
        </w:rPr>
        <w:t>非物质文化遗产</w:t>
      </w:r>
      <w:r>
        <w:rPr>
          <w:rFonts w:hint="eastAsia"/>
          <w:color w:val="auto"/>
          <w:highlight w:val="none"/>
          <w:lang w:bidi="ar"/>
        </w:rPr>
        <w:t>资金下达文件》文件显示，本项目实际到位资金</w:t>
      </w:r>
      <w:r>
        <w:rPr>
          <w:rFonts w:hint="eastAsia"/>
          <w:color w:val="auto"/>
          <w:highlight w:val="none"/>
          <w:lang w:val="en-US" w:eastAsia="zh-CN" w:bidi="ar"/>
        </w:rPr>
        <w:t>20</w:t>
      </w:r>
      <w:r>
        <w:rPr>
          <w:rFonts w:hint="eastAsia"/>
          <w:color w:val="auto"/>
          <w:highlight w:val="none"/>
          <w:lang w:bidi="ar"/>
        </w:rPr>
        <w:t>万元，实际分配</w:t>
      </w:r>
      <w:r>
        <w:rPr>
          <w:rFonts w:hint="eastAsia"/>
          <w:color w:val="auto"/>
          <w:highlight w:val="none"/>
          <w:lang w:val="en-US" w:eastAsia="zh-CN" w:bidi="ar"/>
        </w:rPr>
        <w:t>非物质文化遗产</w:t>
      </w:r>
      <w:r>
        <w:rPr>
          <w:rFonts w:hint="eastAsia"/>
          <w:color w:val="auto"/>
          <w:highlight w:val="none"/>
          <w:lang w:bidi="ar"/>
        </w:rPr>
        <w:t>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5FE6B0EC">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01B35E1D">
      <w:pPr>
        <w:pStyle w:val="3"/>
        <w:ind w:firstLine="643"/>
        <w:rPr>
          <w:color w:val="auto"/>
          <w:highlight w:val="none"/>
        </w:rPr>
      </w:pPr>
      <w:r>
        <w:rPr>
          <w:rFonts w:hint="eastAsia"/>
          <w:color w:val="auto"/>
          <w:highlight w:val="none"/>
        </w:rPr>
        <w:t>（二）项目过程情况</w:t>
      </w:r>
    </w:p>
    <w:p w14:paraId="41B82301">
      <w:pPr>
        <w:ind w:firstLine="560"/>
        <w:rPr>
          <w:rFonts w:hint="eastAsia" w:cs="仿宋_GB2312"/>
          <w:color w:val="auto"/>
          <w:highlight w:val="none"/>
          <w:u w:color="000000"/>
          <w:lang w:val="zh-TW" w:eastAsia="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19</w:t>
      </w:r>
      <w:r>
        <w:rPr>
          <w:rFonts w:hint="eastAsia" w:cs="仿宋_GB2312"/>
          <w:color w:val="auto"/>
          <w:highlight w:val="none"/>
          <w:u w:color="000000"/>
          <w:lang w:val="zh-TW" w:eastAsia="zh-TW"/>
        </w:rPr>
        <w:t>分。</w:t>
      </w:r>
    </w:p>
    <w:p w14:paraId="0A7FA3BC">
      <w:pPr>
        <w:pStyle w:val="4"/>
        <w:ind w:firstLine="562"/>
        <w:rPr>
          <w:color w:val="auto"/>
          <w:highlight w:val="none"/>
        </w:rPr>
      </w:pPr>
      <w:r>
        <w:rPr>
          <w:rFonts w:hint="eastAsia"/>
          <w:color w:val="auto"/>
          <w:highlight w:val="none"/>
        </w:rPr>
        <w:t>1.资金管理情况分析</w:t>
      </w:r>
    </w:p>
    <w:p w14:paraId="78AEBDF0">
      <w:pPr>
        <w:ind w:firstLine="562"/>
        <w:rPr>
          <w:b/>
          <w:bCs/>
          <w:color w:val="auto"/>
          <w:highlight w:val="none"/>
        </w:rPr>
      </w:pPr>
      <w:r>
        <w:rPr>
          <w:rFonts w:hint="eastAsia"/>
          <w:b/>
          <w:bCs/>
          <w:color w:val="auto"/>
          <w:highlight w:val="none"/>
        </w:rPr>
        <w:t>（1）资金到位率</w:t>
      </w:r>
    </w:p>
    <w:p w14:paraId="028F2599">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20</w:t>
      </w:r>
      <w:r>
        <w:rPr>
          <w:rFonts w:hint="eastAsia"/>
          <w:color w:val="auto"/>
          <w:highlight w:val="none"/>
        </w:rPr>
        <w:t>万元，其中：本级财政安排资金</w:t>
      </w:r>
      <w:r>
        <w:rPr>
          <w:rFonts w:hint="eastAsia"/>
          <w:color w:val="auto"/>
          <w:highlight w:val="none"/>
          <w:lang w:val="en-US" w:eastAsia="zh-CN"/>
        </w:rPr>
        <w:t>20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20</w:t>
      </w:r>
      <w:r>
        <w:rPr>
          <w:rFonts w:hint="eastAsia"/>
          <w:color w:val="auto"/>
          <w:highlight w:val="none"/>
        </w:rPr>
        <w:t>万元，资金到位率=（实际到位资金/预算资金）×100%=（</w:t>
      </w:r>
      <w:r>
        <w:rPr>
          <w:rFonts w:hint="eastAsia"/>
          <w:color w:val="auto"/>
          <w:highlight w:val="none"/>
          <w:lang w:val="en-US" w:eastAsia="zh-CN"/>
        </w:rPr>
        <w:t>20</w:t>
      </w:r>
      <w:r>
        <w:rPr>
          <w:rFonts w:hint="eastAsia"/>
          <w:color w:val="auto"/>
          <w:highlight w:val="none"/>
        </w:rPr>
        <w:t>/</w:t>
      </w:r>
      <w:r>
        <w:rPr>
          <w:rFonts w:hint="eastAsia"/>
          <w:color w:val="auto"/>
          <w:highlight w:val="none"/>
          <w:lang w:val="en-US" w:eastAsia="zh-CN"/>
        </w:rPr>
        <w:t>20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7C85C43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4D722726">
      <w:pPr>
        <w:ind w:firstLine="562"/>
        <w:rPr>
          <w:color w:val="auto"/>
          <w:highlight w:val="none"/>
        </w:rPr>
      </w:pPr>
      <w:r>
        <w:rPr>
          <w:rFonts w:hint="eastAsia"/>
          <w:b/>
          <w:bCs/>
          <w:color w:val="auto"/>
          <w:highlight w:val="none"/>
        </w:rPr>
        <w:t>（2）预算执行率</w:t>
      </w:r>
    </w:p>
    <w:p w14:paraId="167F8BD4">
      <w:pPr>
        <w:ind w:firstLine="560"/>
        <w:rPr>
          <w:rFonts w:hint="eastAsia" w:cs="Times New Roman"/>
          <w:color w:val="auto"/>
          <w:highlight w:val="none"/>
          <w:lang w:eastAsia="zh-Hans"/>
        </w:rPr>
      </w:pPr>
      <w:r>
        <w:rPr>
          <w:rFonts w:hint="eastAsia" w:cs="Times New Roman"/>
          <w:color w:val="auto"/>
          <w:highlight w:val="none"/>
          <w:lang w:eastAsia="zh-Hans"/>
        </w:rPr>
        <w:t>本项目实际支出资金</w:t>
      </w:r>
      <w:r>
        <w:rPr>
          <w:rFonts w:hint="eastAsia" w:cs="Times New Roman"/>
          <w:color w:val="auto"/>
          <w:highlight w:val="none"/>
          <w:lang w:val="en-US" w:eastAsia="zh-CN"/>
        </w:rPr>
        <w:t>19.99</w:t>
      </w:r>
      <w:r>
        <w:rPr>
          <w:rFonts w:hint="eastAsia" w:cs="Times New Roman"/>
          <w:color w:val="auto"/>
          <w:highlight w:val="none"/>
          <w:lang w:eastAsia="zh-Hans"/>
        </w:rPr>
        <w:t>万元，预算执行率=（实际支出资金/实际到位资金）×100%=（</w:t>
      </w:r>
      <w:r>
        <w:rPr>
          <w:rFonts w:hint="eastAsia" w:cs="Times New Roman"/>
          <w:color w:val="auto"/>
          <w:highlight w:val="none"/>
          <w:lang w:val="en-US" w:eastAsia="zh-CN"/>
        </w:rPr>
        <w:t>19.99</w:t>
      </w:r>
      <w:r>
        <w:rPr>
          <w:rFonts w:hint="eastAsia" w:cs="Times New Roman"/>
          <w:color w:val="auto"/>
          <w:highlight w:val="none"/>
          <w:lang w:eastAsia="zh-Hans"/>
        </w:rPr>
        <w:t>/</w:t>
      </w:r>
      <w:r>
        <w:rPr>
          <w:rFonts w:hint="eastAsia" w:cs="Times New Roman"/>
          <w:color w:val="auto"/>
          <w:highlight w:val="none"/>
          <w:lang w:val="en-US" w:eastAsia="zh-CN"/>
        </w:rPr>
        <w:t>20</w:t>
      </w:r>
      <w:r>
        <w:rPr>
          <w:rFonts w:hint="eastAsia" w:cs="Times New Roman"/>
          <w:color w:val="auto"/>
          <w:highlight w:val="none"/>
          <w:lang w:eastAsia="zh-Hans"/>
        </w:rPr>
        <w:t>）*100%=</w:t>
      </w:r>
      <w:r>
        <w:rPr>
          <w:rFonts w:hint="eastAsia" w:cs="Times New Roman"/>
          <w:color w:val="auto"/>
          <w:highlight w:val="none"/>
          <w:lang w:val="en-US" w:eastAsia="zh-CN"/>
        </w:rPr>
        <w:t>99.95</w:t>
      </w:r>
      <w:r>
        <w:rPr>
          <w:rFonts w:hint="eastAsia" w:cs="Times New Roman"/>
          <w:color w:val="auto"/>
          <w:highlight w:val="none"/>
          <w:lang w:eastAsia="zh-Hans"/>
        </w:rPr>
        <w:t>%。得分=预算执行率*分值=</w:t>
      </w:r>
      <w:r>
        <w:rPr>
          <w:rFonts w:hint="eastAsia" w:cs="Times New Roman"/>
          <w:color w:val="auto"/>
          <w:highlight w:val="none"/>
          <w:lang w:val="en-US" w:eastAsia="zh-CN"/>
        </w:rPr>
        <w:t>99.95</w:t>
      </w:r>
      <w:r>
        <w:rPr>
          <w:rFonts w:hint="eastAsia" w:cs="Times New Roman"/>
          <w:color w:val="auto"/>
          <w:highlight w:val="none"/>
          <w:lang w:eastAsia="zh-Hans"/>
        </w:rPr>
        <w:t>%*7=</w:t>
      </w:r>
      <w:r>
        <w:rPr>
          <w:rFonts w:hint="eastAsia" w:cs="Times New Roman"/>
          <w:color w:val="auto"/>
          <w:highlight w:val="none"/>
          <w:lang w:val="en-US" w:eastAsia="zh-CN"/>
        </w:rPr>
        <w:t>6.9965=7</w:t>
      </w:r>
      <w:r>
        <w:rPr>
          <w:rFonts w:hint="eastAsia" w:cs="Times New Roman"/>
          <w:color w:val="auto"/>
          <w:highlight w:val="none"/>
          <w:lang w:eastAsia="zh-Hans"/>
        </w:rPr>
        <w:t>分。</w:t>
      </w:r>
    </w:p>
    <w:p w14:paraId="46D4B8F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w:t>
      </w:r>
      <w:r>
        <w:rPr>
          <w:rFonts w:hint="eastAsia" w:cs="Times New Roman"/>
          <w:color w:val="auto"/>
          <w:highlight w:val="none"/>
          <w:lang w:eastAsia="zh-Hans"/>
        </w:rPr>
        <w:t>标准得</w:t>
      </w:r>
      <w:r>
        <w:rPr>
          <w:rFonts w:hint="eastAsia" w:cs="Times New Roman"/>
          <w:color w:val="auto"/>
          <w:highlight w:val="none"/>
          <w:lang w:val="en-US" w:eastAsia="zh-CN"/>
        </w:rPr>
        <w:t>7</w:t>
      </w:r>
      <w:r>
        <w:rPr>
          <w:rFonts w:hint="eastAsia" w:cs="Times New Roman"/>
          <w:color w:val="auto"/>
          <w:highlight w:val="none"/>
          <w:lang w:eastAsia="zh-Hans"/>
        </w:rPr>
        <w:t>分，本项</w:t>
      </w:r>
      <w:r>
        <w:rPr>
          <w:rFonts w:hint="eastAsia"/>
          <w:color w:val="auto"/>
          <w:highlight w:val="none"/>
        </w:rPr>
        <w:t>目资金分配合理。</w:t>
      </w:r>
    </w:p>
    <w:p w14:paraId="53C4B57B">
      <w:pPr>
        <w:ind w:firstLine="562"/>
        <w:rPr>
          <w:b/>
          <w:bCs/>
          <w:color w:val="auto"/>
          <w:highlight w:val="none"/>
        </w:rPr>
      </w:pPr>
      <w:r>
        <w:rPr>
          <w:rFonts w:hint="eastAsia"/>
          <w:b/>
          <w:bCs/>
          <w:color w:val="auto"/>
          <w:highlight w:val="none"/>
        </w:rPr>
        <w:t>（3）资金使用合规性</w:t>
      </w:r>
    </w:p>
    <w:p w14:paraId="1F43195D">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和静县文化体育广播和旅游局</w:t>
      </w:r>
      <w:r>
        <w:rPr>
          <w:color w:val="auto"/>
          <w:highlight w:val="none"/>
        </w:rPr>
        <w:t>资金管理办法》</w:t>
      </w:r>
      <w:r>
        <w:rPr>
          <w:rFonts w:hint="eastAsia"/>
          <w:color w:val="auto"/>
          <w:highlight w:val="none"/>
          <w:lang w:eastAsia="zh-CN"/>
        </w:rPr>
        <w:t>《</w:t>
      </w:r>
      <w:r>
        <w:rPr>
          <w:color w:val="auto"/>
          <w:highlight w:val="none"/>
        </w:rPr>
        <w:t>国家非物质文化遗产保护</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0ABCEEBA">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48F6FE92">
      <w:pPr>
        <w:pStyle w:val="4"/>
        <w:ind w:firstLine="562"/>
        <w:rPr>
          <w:color w:val="auto"/>
          <w:highlight w:val="none"/>
        </w:rPr>
      </w:pPr>
      <w:r>
        <w:rPr>
          <w:rFonts w:hint="eastAsia"/>
          <w:color w:val="auto"/>
          <w:highlight w:val="none"/>
        </w:rPr>
        <w:t>2.组织实施情况分析</w:t>
      </w:r>
    </w:p>
    <w:p w14:paraId="51DF9777">
      <w:pPr>
        <w:ind w:firstLine="562"/>
        <w:rPr>
          <w:b/>
          <w:bCs/>
          <w:color w:val="auto"/>
          <w:highlight w:val="none"/>
        </w:rPr>
      </w:pPr>
      <w:r>
        <w:rPr>
          <w:rFonts w:hint="eastAsia"/>
          <w:b/>
          <w:bCs/>
          <w:color w:val="auto"/>
          <w:highlight w:val="none"/>
        </w:rPr>
        <w:t>（1）管理制度健全性</w:t>
      </w:r>
    </w:p>
    <w:p w14:paraId="7FF4E0F2">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和静县文化体育广播和旅游局</w:t>
      </w:r>
      <w:r>
        <w:rPr>
          <w:color w:val="auto"/>
          <w:highlight w:val="none"/>
        </w:rPr>
        <w:t>资金管理办法</w:t>
      </w:r>
      <w:r>
        <w:rPr>
          <w:rFonts w:hint="eastAsia"/>
          <w:color w:val="auto"/>
          <w:highlight w:val="none"/>
        </w:rPr>
        <w:t>》《</w:t>
      </w:r>
      <w:r>
        <w:rPr>
          <w:rFonts w:hint="eastAsia"/>
          <w:color w:val="auto"/>
          <w:highlight w:val="none"/>
          <w:lang w:val="en-US" w:eastAsia="zh-CN"/>
        </w:rPr>
        <w:t>和静县文化体育广播和旅游局</w:t>
      </w:r>
      <w:r>
        <w:rPr>
          <w:rFonts w:hint="eastAsia"/>
          <w:color w:val="auto"/>
          <w:highlight w:val="none"/>
        </w:rPr>
        <w:t>收支业务管理制度》《</w:t>
      </w:r>
      <w:r>
        <w:rPr>
          <w:rFonts w:hint="eastAsia"/>
          <w:color w:val="auto"/>
          <w:highlight w:val="none"/>
          <w:lang w:val="en-US" w:eastAsia="zh-CN"/>
        </w:rPr>
        <w:t>和静县文化体育广播和旅游局</w:t>
      </w:r>
      <w:r>
        <w:rPr>
          <w:rFonts w:hint="eastAsia"/>
          <w:color w:val="auto"/>
          <w:highlight w:val="none"/>
        </w:rPr>
        <w:t>政府采购业务管理制度》《</w:t>
      </w:r>
      <w:r>
        <w:rPr>
          <w:rFonts w:hint="eastAsia"/>
          <w:color w:val="auto"/>
          <w:highlight w:val="none"/>
          <w:lang w:val="en-US" w:eastAsia="zh-CN"/>
        </w:rPr>
        <w:t>和静县文化体育广播和旅游局</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2FEE7387">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1EB229B3">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187A53C8">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，项目启动实施后，为了加快本项目的实施，成立非物质文化遗产保护资金项目工作领导小组，由党组书记</w:t>
      </w:r>
      <w:r>
        <w:rPr>
          <w:rFonts w:hint="eastAsia"/>
          <w:color w:val="auto"/>
          <w:highlight w:val="none"/>
          <w:lang w:val="en-US" w:eastAsia="zh-CN"/>
        </w:rPr>
        <w:t>朱斌</w:t>
      </w:r>
      <w:r>
        <w:rPr>
          <w:rFonts w:hint="eastAsia"/>
          <w:color w:val="auto"/>
          <w:highlight w:val="none"/>
        </w:rPr>
        <w:t>任组长，负责项目的组织工作；</w:t>
      </w:r>
      <w:r>
        <w:rPr>
          <w:rFonts w:hint="eastAsia"/>
          <w:color w:val="auto"/>
          <w:highlight w:val="none"/>
          <w:lang w:val="en-US" w:eastAsia="zh-CN"/>
        </w:rPr>
        <w:t>欧云</w:t>
      </w:r>
      <w:r>
        <w:rPr>
          <w:rFonts w:hint="eastAsia"/>
          <w:color w:val="auto"/>
          <w:highlight w:val="none"/>
        </w:rPr>
        <w:t>任副组长，负责项目的实施工作；组员包括：</w:t>
      </w:r>
      <w:r>
        <w:rPr>
          <w:rFonts w:hint="eastAsia"/>
          <w:color w:val="auto"/>
          <w:highlight w:val="none"/>
          <w:lang w:val="en-US" w:eastAsia="zh-CN"/>
        </w:rPr>
        <w:t>邹东堂</w:t>
      </w:r>
      <w:r>
        <w:rPr>
          <w:rFonts w:hint="eastAsia"/>
          <w:color w:val="auto"/>
          <w:highlight w:val="none"/>
        </w:rPr>
        <w:t>和</w:t>
      </w:r>
      <w:r>
        <w:rPr>
          <w:rFonts w:hint="eastAsia"/>
          <w:color w:val="auto"/>
          <w:highlight w:val="none"/>
          <w:lang w:val="en-US" w:eastAsia="zh-CN"/>
        </w:rPr>
        <w:t>曲洁</w:t>
      </w:r>
      <w:r>
        <w:rPr>
          <w:rFonts w:hint="eastAsia"/>
          <w:color w:val="auto"/>
          <w:highlight w:val="none"/>
        </w:rPr>
        <w:t>，主要负责项目监督管理、验收以及资金核拨等工作。项目调整及支出调整手续完备；项目合同书、验收报告、技术鉴定等资料齐全并及时归档；项目实施的人员条件、场地设备、信息支撑等落实到位。</w:t>
      </w:r>
    </w:p>
    <w:p w14:paraId="01939D5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16629915">
      <w:pPr>
        <w:pStyle w:val="3"/>
        <w:ind w:left="560" w:leftChars="200" w:firstLine="0" w:firstLineChars="0"/>
        <w:rPr>
          <w:color w:val="auto"/>
          <w:highlight w:val="none"/>
        </w:rPr>
      </w:pPr>
      <w:r>
        <w:rPr>
          <w:rFonts w:hint="eastAsia"/>
          <w:color w:val="auto"/>
          <w:highlight w:val="none"/>
        </w:rPr>
        <w:t>（三）项目产出情况</w:t>
      </w:r>
    </w:p>
    <w:p w14:paraId="7DAE0AE8">
      <w:pPr>
        <w:ind w:firstLine="560"/>
        <w:rPr>
          <w:rFonts w:hint="eastAsia" w:cs="Times New Roman"/>
          <w:color w:val="auto"/>
          <w:highlight w:val="none"/>
          <w:lang w:val="zh-TW" w:eastAsia="zh-Hans"/>
        </w:rPr>
      </w:pPr>
      <w:r>
        <w:rPr>
          <w:rFonts w:hint="eastAsia" w:cs="Times New Roman"/>
          <w:color w:val="auto"/>
          <w:highlight w:val="none"/>
          <w:lang w:val="zh-TW" w:eastAsia="zh-TW"/>
        </w:rPr>
        <w:t>项目</w:t>
      </w:r>
      <w:r>
        <w:rPr>
          <w:rFonts w:hint="eastAsia" w:cs="Times New Roman"/>
          <w:color w:val="auto"/>
          <w:highlight w:val="none"/>
          <w:lang w:eastAsia="zh-Hans"/>
        </w:rPr>
        <w:t>产出</w:t>
      </w:r>
      <w:r>
        <w:rPr>
          <w:rFonts w:hint="eastAsia" w:cs="Times New Roman"/>
          <w:color w:val="auto"/>
          <w:highlight w:val="none"/>
          <w:lang w:val="zh-TW" w:eastAsia="zh-TW"/>
        </w:rPr>
        <w:t>类指标由</w:t>
      </w:r>
      <w:r>
        <w:rPr>
          <w:rFonts w:hint="eastAsia" w:cs="Times New Roman"/>
          <w:color w:val="auto"/>
          <w:highlight w:val="none"/>
          <w:lang w:val="en-US" w:eastAsia="zh-CN"/>
        </w:rPr>
        <w:t>3</w:t>
      </w:r>
      <w:r>
        <w:rPr>
          <w:rFonts w:hint="eastAsia" w:cs="Times New Roman"/>
          <w:color w:val="auto"/>
          <w:highlight w:val="none"/>
          <w:lang w:val="zh-TW" w:eastAsia="zh-TW"/>
        </w:rPr>
        <w:t>个</w:t>
      </w:r>
      <w:r>
        <w:rPr>
          <w:rFonts w:hint="eastAsia" w:cs="Times New Roman"/>
          <w:color w:val="auto"/>
          <w:highlight w:val="none"/>
          <w:lang w:val="zh-TW" w:eastAsia="zh-Hans"/>
        </w:rPr>
        <w:t>二</w:t>
      </w:r>
      <w:r>
        <w:rPr>
          <w:rFonts w:hint="eastAsia" w:cs="Times New Roman"/>
          <w:color w:val="auto"/>
          <w:highlight w:val="none"/>
          <w:lang w:val="zh-TW" w:eastAsia="zh-TW"/>
        </w:rPr>
        <w:t>级指标和</w:t>
      </w:r>
      <w:r>
        <w:rPr>
          <w:rFonts w:hint="eastAsia" w:cs="Times New Roman"/>
          <w:color w:val="auto"/>
          <w:highlight w:val="none"/>
          <w:lang w:val="en-US" w:eastAsia="zh-CN"/>
        </w:rPr>
        <w:t>8</w:t>
      </w:r>
      <w:r>
        <w:rPr>
          <w:rFonts w:hint="eastAsia" w:cs="Times New Roman"/>
          <w:color w:val="auto"/>
          <w:highlight w:val="none"/>
          <w:lang w:val="zh-TW" w:eastAsia="zh-TW"/>
        </w:rPr>
        <w:t>个</w:t>
      </w:r>
      <w:r>
        <w:rPr>
          <w:rFonts w:hint="eastAsia" w:cs="Times New Roman"/>
          <w:color w:val="auto"/>
          <w:highlight w:val="none"/>
          <w:lang w:eastAsia="zh-Hans"/>
        </w:rPr>
        <w:t>三</w:t>
      </w:r>
      <w:r>
        <w:rPr>
          <w:rFonts w:hint="eastAsia" w:cs="Times New Roman"/>
          <w:color w:val="auto"/>
          <w:highlight w:val="none"/>
          <w:lang w:val="zh-TW" w:eastAsia="zh-TW"/>
        </w:rPr>
        <w:t>级指标构成，权重分</w:t>
      </w:r>
      <w:r>
        <w:rPr>
          <w:rFonts w:hint="eastAsia" w:cs="Times New Roman"/>
          <w:color w:val="auto"/>
          <w:highlight w:val="none"/>
          <w:lang w:val="en-US" w:eastAsia="zh-CN"/>
        </w:rPr>
        <w:t>14</w:t>
      </w:r>
      <w:r>
        <w:rPr>
          <w:rFonts w:hint="eastAsia" w:cs="Times New Roman"/>
          <w:color w:val="auto"/>
          <w:highlight w:val="none"/>
          <w:lang w:val="zh-TW" w:eastAsia="zh-TW"/>
        </w:rPr>
        <w:t>分，实际得分</w:t>
      </w:r>
      <w:r>
        <w:rPr>
          <w:rFonts w:hint="eastAsia" w:cs="Times New Roman"/>
          <w:color w:val="auto"/>
          <w:highlight w:val="none"/>
          <w:lang w:val="en-US" w:eastAsia="zh-CN"/>
        </w:rPr>
        <w:t>14</w:t>
      </w:r>
      <w:r>
        <w:rPr>
          <w:rFonts w:hint="eastAsia" w:cs="Times New Roman"/>
          <w:color w:val="auto"/>
          <w:highlight w:val="none"/>
          <w:lang w:val="zh-TW" w:eastAsia="zh-TW"/>
        </w:rPr>
        <w:t>分</w:t>
      </w:r>
      <w:r>
        <w:rPr>
          <w:rFonts w:hint="eastAsia" w:cs="Times New Roman"/>
          <w:color w:val="auto"/>
          <w:highlight w:val="none"/>
          <w:lang w:val="zh-TW" w:eastAsia="zh-Hans"/>
        </w:rPr>
        <w:t>。</w:t>
      </w:r>
    </w:p>
    <w:p w14:paraId="55BDEC14">
      <w:pPr>
        <w:pStyle w:val="4"/>
        <w:ind w:firstLine="562"/>
        <w:rPr>
          <w:color w:val="auto"/>
          <w:highlight w:val="none"/>
        </w:rPr>
      </w:pPr>
      <w:r>
        <w:rPr>
          <w:rFonts w:hint="eastAsia"/>
          <w:color w:val="auto"/>
          <w:highlight w:val="none"/>
        </w:rPr>
        <w:t>1.数量指标完成情况分析</w:t>
      </w:r>
    </w:p>
    <w:p w14:paraId="7AA55B2E">
      <w:pPr>
        <w:pStyle w:val="6"/>
        <w:rPr>
          <w:rFonts w:hint="eastAsia" w:ascii="仿宋_GB2312" w:hAnsi="仿宋_GB2312" w:eastAsia="仿宋_GB2312" w:cs="Times New Roman"/>
          <w:color w:val="auto"/>
          <w:kern w:val="2"/>
          <w:sz w:val="28"/>
          <w:szCs w:val="24"/>
          <w:highlight w:val="none"/>
          <w:lang w:val="en-US" w:eastAsia="zh-CN" w:bidi="ar-SA"/>
        </w:rPr>
      </w:pPr>
      <w:r>
        <w:rPr>
          <w:rFonts w:hint="eastAsia" w:ascii="仿宋_GB2312" w:hAnsi="仿宋_GB2312" w:eastAsia="仿宋_GB2312" w:cs="Times New Roman"/>
          <w:color w:val="auto"/>
          <w:kern w:val="2"/>
          <w:sz w:val="28"/>
          <w:szCs w:val="24"/>
          <w:highlight w:val="none"/>
          <w:lang w:val="en-US" w:eastAsia="zh-CN" w:bidi="ar-SA"/>
        </w:rPr>
        <w:t>“非遗传承人研修培训班次”指标:预期指标值为≥3场，实际完成值为3场,指标完成率为100%，偏差率0%。</w:t>
      </w:r>
    </w:p>
    <w:p w14:paraId="1354089F">
      <w:pPr>
        <w:pStyle w:val="6"/>
        <w:rPr>
          <w:rFonts w:hint="eastAsia" w:ascii="仿宋_GB2312" w:hAnsi="仿宋_GB2312" w:eastAsia="仿宋_GB2312" w:cs="Times New Roman"/>
          <w:color w:val="auto"/>
          <w:kern w:val="2"/>
          <w:sz w:val="28"/>
          <w:szCs w:val="24"/>
          <w:highlight w:val="none"/>
          <w:lang w:val="en-US" w:eastAsia="zh-CN" w:bidi="ar-SA"/>
        </w:rPr>
      </w:pPr>
      <w:r>
        <w:rPr>
          <w:rFonts w:hint="eastAsia" w:ascii="仿宋_GB2312" w:hAnsi="仿宋_GB2312" w:eastAsia="仿宋_GB2312" w:cs="Times New Roman"/>
          <w:color w:val="auto"/>
          <w:kern w:val="2"/>
          <w:sz w:val="28"/>
          <w:szCs w:val="24"/>
          <w:highlight w:val="none"/>
          <w:lang w:val="en-US" w:eastAsia="zh-CN" w:bidi="ar-SA"/>
        </w:rPr>
        <w:t>“举办非遗文化普及展演活动场次”指标:预期指标值为≥6场，实际完成值为6场,指标完成率为100%，偏差率0%。</w:t>
      </w:r>
    </w:p>
    <w:p w14:paraId="022E55E1">
      <w:pPr>
        <w:pStyle w:val="6"/>
        <w:rPr>
          <w:rFonts w:hint="eastAsia" w:ascii="仿宋_GB2312" w:hAnsi="仿宋_GB2312" w:eastAsia="仿宋_GB2312" w:cs="Times New Roman"/>
          <w:color w:val="auto"/>
          <w:kern w:val="2"/>
          <w:sz w:val="28"/>
          <w:szCs w:val="24"/>
          <w:highlight w:val="none"/>
          <w:lang w:val="en-US" w:eastAsia="zh-CN" w:bidi="ar-SA"/>
        </w:rPr>
      </w:pPr>
      <w:r>
        <w:rPr>
          <w:rFonts w:hint="eastAsia" w:ascii="仿宋_GB2312" w:hAnsi="仿宋_GB2312" w:eastAsia="仿宋_GB2312" w:cs="Times New Roman"/>
          <w:color w:val="auto"/>
          <w:kern w:val="2"/>
          <w:sz w:val="28"/>
          <w:szCs w:val="24"/>
          <w:highlight w:val="none"/>
          <w:lang w:val="en-US" w:eastAsia="zh-CN" w:bidi="ar-SA"/>
        </w:rPr>
        <w:t>“举办“那达慕“大会”指标:预期指标值为≥1场，实际完成值为1场,指标完成率为100%，偏差率0%。</w:t>
      </w:r>
    </w:p>
    <w:p w14:paraId="77BD9FD5">
      <w:pPr>
        <w:ind w:firstLine="560"/>
        <w:rPr>
          <w:rFonts w:hint="eastAsia" w:ascii="仿宋_GB2312" w:hAnsi="仿宋_GB2312" w:eastAsia="仿宋_GB2312" w:cs="Times New Roman"/>
          <w:color w:val="auto"/>
          <w:kern w:val="2"/>
          <w:sz w:val="28"/>
          <w:szCs w:val="24"/>
          <w:highlight w:val="none"/>
          <w:lang w:val="en-US" w:eastAsia="zh-CN" w:bidi="ar-SA"/>
        </w:rPr>
      </w:pPr>
      <w:r>
        <w:rPr>
          <w:rFonts w:hint="eastAsia" w:ascii="仿宋_GB2312" w:hAnsi="仿宋_GB2312" w:eastAsia="仿宋_GB2312" w:cs="Times New Roman"/>
          <w:color w:val="auto"/>
          <w:kern w:val="2"/>
          <w:sz w:val="28"/>
          <w:szCs w:val="24"/>
          <w:highlight w:val="none"/>
          <w:lang w:val="en-US" w:eastAsia="zh-CN" w:bidi="ar-SA"/>
        </w:rPr>
        <w:t>“非遗文化外出交流展演天数”指标：预期指标值为≥10天，实际完成指标值为10天，指标完成率为100%，偏差率</w:t>
      </w:r>
      <w:r>
        <w:rPr>
          <w:rFonts w:hint="eastAsia" w:cs="Times New Roman"/>
          <w:color w:val="auto"/>
          <w:kern w:val="2"/>
          <w:sz w:val="28"/>
          <w:szCs w:val="24"/>
          <w:highlight w:val="none"/>
          <w:lang w:val="en-US" w:eastAsia="zh-CN" w:bidi="ar-SA"/>
        </w:rPr>
        <w:t>0</w:t>
      </w:r>
      <w:r>
        <w:rPr>
          <w:rFonts w:hint="eastAsia" w:ascii="仿宋_GB2312" w:hAnsi="仿宋_GB2312" w:eastAsia="仿宋_GB2312" w:cs="Times New Roman"/>
          <w:color w:val="auto"/>
          <w:kern w:val="2"/>
          <w:sz w:val="28"/>
          <w:szCs w:val="24"/>
          <w:highlight w:val="none"/>
          <w:lang w:val="en-US" w:eastAsia="zh-CN" w:bidi="ar-SA"/>
        </w:rPr>
        <w:t>%。</w:t>
      </w:r>
    </w:p>
    <w:p w14:paraId="762106C4">
      <w:pPr>
        <w:pStyle w:val="4"/>
        <w:ind w:firstLine="562"/>
        <w:rPr>
          <w:color w:val="auto"/>
          <w:highlight w:val="none"/>
        </w:rPr>
      </w:pPr>
      <w:r>
        <w:rPr>
          <w:rFonts w:hint="eastAsia"/>
          <w:color w:val="auto"/>
          <w:highlight w:val="none"/>
        </w:rPr>
        <w:t>2.质量指标完成情况分析</w:t>
      </w:r>
    </w:p>
    <w:p w14:paraId="6F2EF7E3">
      <w:pPr>
        <w:ind w:firstLine="560"/>
        <w:rPr>
          <w:rFonts w:hint="eastAsia" w:ascii="仿宋_GB2312" w:hAnsi="仿宋_GB2312" w:eastAsia="仿宋_GB2312" w:cs="Times New Roman"/>
          <w:color w:val="auto"/>
          <w:kern w:val="2"/>
          <w:sz w:val="28"/>
          <w:szCs w:val="24"/>
          <w:highlight w:val="none"/>
          <w:lang w:val="en-US" w:eastAsia="zh-CN" w:bidi="ar-SA"/>
        </w:rPr>
      </w:pPr>
      <w:r>
        <w:rPr>
          <w:rFonts w:hint="eastAsia" w:ascii="仿宋_GB2312" w:hAnsi="仿宋_GB2312" w:eastAsia="仿宋_GB2312" w:cs="Times New Roman"/>
          <w:color w:val="auto"/>
          <w:kern w:val="2"/>
          <w:sz w:val="28"/>
          <w:szCs w:val="24"/>
          <w:highlight w:val="none"/>
          <w:lang w:val="en-US" w:eastAsia="zh-CN" w:bidi="ar-SA"/>
        </w:rPr>
        <w:t>“非遗传承人研修培训合格率”指标：预期指标值为≥90%，实际完成指标值为100%，指标完成率为100%，偏差率0%。</w:t>
      </w:r>
    </w:p>
    <w:p w14:paraId="16C69DF7">
      <w:pPr>
        <w:ind w:firstLine="560"/>
        <w:rPr>
          <w:rFonts w:hint="eastAsia" w:ascii="仿宋_GB2312" w:hAnsi="仿宋_GB2312" w:eastAsia="仿宋_GB2312" w:cs="Times New Roman"/>
          <w:color w:val="auto"/>
          <w:kern w:val="2"/>
          <w:sz w:val="28"/>
          <w:szCs w:val="24"/>
          <w:highlight w:val="none"/>
          <w:lang w:val="en-US" w:eastAsia="zh-CN" w:bidi="ar-SA"/>
        </w:rPr>
      </w:pPr>
      <w:r>
        <w:rPr>
          <w:rFonts w:hint="eastAsia" w:ascii="仿宋_GB2312" w:hAnsi="仿宋_GB2312" w:eastAsia="仿宋_GB2312" w:cs="Times New Roman"/>
          <w:color w:val="auto"/>
          <w:kern w:val="2"/>
          <w:sz w:val="28"/>
          <w:szCs w:val="24"/>
          <w:highlight w:val="none"/>
          <w:lang w:val="en-US" w:eastAsia="zh-CN" w:bidi="ar-SA"/>
        </w:rPr>
        <w:t>“非遗活动展演率”指标：预期指标值为≥90%，实际完成指标值为100%，指标完成率为100%，偏差率0%。</w:t>
      </w:r>
    </w:p>
    <w:p w14:paraId="6B81E6A3">
      <w:pPr>
        <w:pStyle w:val="4"/>
        <w:ind w:firstLine="562"/>
        <w:rPr>
          <w:color w:val="auto"/>
          <w:highlight w:val="none"/>
        </w:rPr>
      </w:pPr>
      <w:r>
        <w:rPr>
          <w:rFonts w:hint="eastAsia"/>
          <w:color w:val="auto"/>
          <w:highlight w:val="none"/>
        </w:rPr>
        <w:t>3.时效指标完成情况分析</w:t>
      </w:r>
    </w:p>
    <w:p w14:paraId="5BBE0D27">
      <w:pPr>
        <w:ind w:firstLine="560"/>
        <w:rPr>
          <w:rFonts w:hint="eastAsia" w:ascii="仿宋_GB2312" w:hAnsi="仿宋_GB2312" w:eastAsia="仿宋_GB2312" w:cs="Times New Roman"/>
          <w:color w:val="auto"/>
          <w:kern w:val="2"/>
          <w:sz w:val="28"/>
          <w:szCs w:val="24"/>
          <w:highlight w:val="none"/>
          <w:lang w:val="en-US" w:eastAsia="zh-CN" w:bidi="ar-SA"/>
        </w:rPr>
      </w:pPr>
      <w:r>
        <w:rPr>
          <w:rFonts w:hint="eastAsia" w:ascii="仿宋_GB2312" w:hAnsi="仿宋_GB2312" w:eastAsia="仿宋_GB2312" w:cs="Times New Roman"/>
          <w:color w:val="auto"/>
          <w:kern w:val="2"/>
          <w:sz w:val="28"/>
          <w:szCs w:val="24"/>
          <w:highlight w:val="none"/>
          <w:lang w:val="en-US" w:eastAsia="zh-CN" w:bidi="ar-SA"/>
        </w:rPr>
        <w:t>“非遗传承人研修培训结业率”指标：预期指标值为≥90%，实际完成指标值为100%，指标完成率为100%，偏差率0%。</w:t>
      </w:r>
    </w:p>
    <w:p w14:paraId="5BBC1D4D">
      <w:pPr>
        <w:ind w:firstLine="560"/>
        <w:rPr>
          <w:rFonts w:hint="eastAsia" w:ascii="仿宋_GB2312" w:hAnsi="仿宋_GB2312" w:eastAsia="仿宋_GB2312" w:cs="Times New Roman"/>
          <w:color w:val="auto"/>
          <w:kern w:val="2"/>
          <w:sz w:val="28"/>
          <w:szCs w:val="24"/>
          <w:highlight w:val="none"/>
          <w:lang w:val="en-US" w:eastAsia="zh-CN" w:bidi="ar-SA"/>
        </w:rPr>
      </w:pPr>
      <w:r>
        <w:rPr>
          <w:rFonts w:hint="eastAsia" w:ascii="仿宋_GB2312" w:hAnsi="仿宋_GB2312" w:eastAsia="仿宋_GB2312" w:cs="Times New Roman"/>
          <w:color w:val="auto"/>
          <w:kern w:val="2"/>
          <w:sz w:val="28"/>
          <w:szCs w:val="24"/>
          <w:highlight w:val="none"/>
          <w:lang w:val="en-US" w:eastAsia="zh-CN" w:bidi="ar-SA"/>
        </w:rPr>
        <w:t>“项目任务按期完成率”指标：预期指标值为≥90%，实际完成指标值为100%，指标完成率为100%，偏差率0%。</w:t>
      </w:r>
    </w:p>
    <w:p w14:paraId="4827160C">
      <w:pPr>
        <w:pStyle w:val="3"/>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7B8F349E">
      <w:pPr>
        <w:bidi w:val="0"/>
        <w:rPr>
          <w:rFonts w:hint="eastAsia" w:cs="Times New Roman"/>
          <w:color w:val="auto"/>
          <w:highlight w:val="none"/>
          <w:lang w:val="zh-TW" w:eastAsia="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3</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w:t>
      </w:r>
      <w:r>
        <w:rPr>
          <w:rFonts w:hint="eastAsia" w:cs="Times New Roman"/>
          <w:color w:val="auto"/>
          <w:highlight w:val="none"/>
          <w:lang w:val="zh-TW" w:eastAsia="zh-TW"/>
        </w:rPr>
        <w:t>实际得分</w:t>
      </w:r>
      <w:r>
        <w:rPr>
          <w:rFonts w:hint="eastAsia" w:cs="Times New Roman"/>
          <w:color w:val="auto"/>
          <w:highlight w:val="none"/>
          <w:lang w:val="en-US" w:eastAsia="zh-CN"/>
        </w:rPr>
        <w:t>16</w:t>
      </w:r>
      <w:r>
        <w:rPr>
          <w:rFonts w:hint="eastAsia" w:cs="Times New Roman"/>
          <w:color w:val="auto"/>
          <w:highlight w:val="none"/>
          <w:lang w:val="zh-TW" w:eastAsia="zh-TW"/>
        </w:rPr>
        <w:t>分。</w:t>
      </w:r>
    </w:p>
    <w:p w14:paraId="39A26334">
      <w:pPr>
        <w:pStyle w:val="4"/>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37AB5297">
      <w:pPr>
        <w:bidi w:val="0"/>
        <w:rPr>
          <w:rFonts w:hint="eastAsia" w:cs="Times New Roman"/>
          <w:color w:val="auto"/>
          <w:highlight w:val="none"/>
          <w:lang w:val="zh-TW"/>
        </w:rPr>
      </w:pPr>
      <w:r>
        <w:rPr>
          <w:rFonts w:hint="eastAsia" w:cs="Times New Roman"/>
          <w:color w:val="auto"/>
          <w:highlight w:val="none"/>
          <w:lang w:val="zh-TW"/>
        </w:rPr>
        <w:t>“非遗保护项目支出”指标：预期指标值为≤5万元，实际完成指标值为5万元，指标完成率为</w:t>
      </w:r>
      <w:r>
        <w:rPr>
          <w:rFonts w:hint="eastAsia" w:cs="Times New Roman"/>
          <w:color w:val="auto"/>
          <w:highlight w:val="none"/>
          <w:lang w:val="en-US" w:eastAsia="zh-CN"/>
        </w:rPr>
        <w:t>100</w:t>
      </w:r>
      <w:r>
        <w:rPr>
          <w:rFonts w:hint="eastAsia" w:cs="Times New Roman"/>
          <w:color w:val="auto"/>
          <w:highlight w:val="none"/>
          <w:lang w:val="zh-TW"/>
        </w:rPr>
        <w:t>%，偏差率</w:t>
      </w:r>
      <w:r>
        <w:rPr>
          <w:rFonts w:hint="eastAsia" w:cs="Times New Roman"/>
          <w:color w:val="auto"/>
          <w:highlight w:val="none"/>
          <w:lang w:val="en-US" w:eastAsia="zh-CN"/>
        </w:rPr>
        <w:t>0</w:t>
      </w:r>
      <w:r>
        <w:rPr>
          <w:rFonts w:hint="eastAsia" w:cs="Times New Roman"/>
          <w:color w:val="auto"/>
          <w:highlight w:val="none"/>
          <w:lang w:val="zh-TW"/>
        </w:rPr>
        <w:t>%。</w:t>
      </w:r>
    </w:p>
    <w:p w14:paraId="5C7A3661">
      <w:pPr>
        <w:bidi w:val="0"/>
        <w:rPr>
          <w:rFonts w:hint="eastAsia" w:cs="Times New Roman"/>
          <w:color w:val="auto"/>
          <w:highlight w:val="none"/>
          <w:lang w:val="zh-TW"/>
        </w:rPr>
      </w:pPr>
      <w:r>
        <w:rPr>
          <w:rFonts w:hint="eastAsia" w:cs="Times New Roman"/>
          <w:color w:val="auto"/>
          <w:highlight w:val="none"/>
          <w:lang w:val="zh-TW"/>
        </w:rPr>
        <w:t>“非遗文化普及活动支出”指标：预期指标值为≤5万元，实际完成指标值为5万元，指标完成率为</w:t>
      </w:r>
      <w:r>
        <w:rPr>
          <w:rFonts w:hint="eastAsia" w:cs="Times New Roman"/>
          <w:color w:val="auto"/>
          <w:highlight w:val="none"/>
          <w:lang w:val="en-US" w:eastAsia="zh-CN"/>
        </w:rPr>
        <w:t>100</w:t>
      </w:r>
      <w:r>
        <w:rPr>
          <w:rFonts w:hint="eastAsia" w:cs="Times New Roman"/>
          <w:color w:val="auto"/>
          <w:highlight w:val="none"/>
          <w:lang w:val="zh-TW"/>
        </w:rPr>
        <w:t>%，偏差率</w:t>
      </w:r>
      <w:r>
        <w:rPr>
          <w:rFonts w:hint="eastAsia" w:cs="Times New Roman"/>
          <w:color w:val="auto"/>
          <w:highlight w:val="none"/>
          <w:lang w:val="en-US" w:eastAsia="zh-CN"/>
        </w:rPr>
        <w:t>0</w:t>
      </w:r>
      <w:r>
        <w:rPr>
          <w:rFonts w:hint="eastAsia" w:cs="Times New Roman"/>
          <w:color w:val="auto"/>
          <w:highlight w:val="none"/>
          <w:lang w:val="zh-TW"/>
        </w:rPr>
        <w:t>%。</w:t>
      </w:r>
    </w:p>
    <w:p w14:paraId="498D5E1B">
      <w:pPr>
        <w:bidi w:val="0"/>
        <w:rPr>
          <w:rFonts w:hint="eastAsia" w:cs="Times New Roman"/>
          <w:color w:val="auto"/>
          <w:highlight w:val="none"/>
          <w:lang w:val="zh-TW"/>
        </w:rPr>
      </w:pPr>
      <w:r>
        <w:rPr>
          <w:rFonts w:hint="eastAsia" w:cs="Times New Roman"/>
          <w:color w:val="auto"/>
          <w:highlight w:val="none"/>
          <w:lang w:val="zh-TW"/>
        </w:rPr>
        <w:t>“非遗文化展演支出”指标：预期指标值为≤10万元，实际完成指标值为</w:t>
      </w:r>
      <w:r>
        <w:rPr>
          <w:rFonts w:hint="eastAsia" w:cs="Times New Roman"/>
          <w:color w:val="auto"/>
          <w:highlight w:val="none"/>
          <w:lang w:val="en-US" w:eastAsia="zh-CN"/>
        </w:rPr>
        <w:t>9.99</w:t>
      </w:r>
      <w:r>
        <w:rPr>
          <w:rFonts w:hint="eastAsia" w:cs="Times New Roman"/>
          <w:color w:val="auto"/>
          <w:highlight w:val="none"/>
          <w:lang w:val="zh-TW"/>
        </w:rPr>
        <w:t>万元，指标完成率为99.9%，偏差率</w:t>
      </w:r>
      <w:r>
        <w:rPr>
          <w:rFonts w:hint="eastAsia" w:cs="Times New Roman"/>
          <w:color w:val="auto"/>
          <w:highlight w:val="none"/>
          <w:lang w:val="en-US" w:eastAsia="zh-CN"/>
        </w:rPr>
        <w:t>0.1</w:t>
      </w:r>
      <w:r>
        <w:rPr>
          <w:rFonts w:hint="eastAsia" w:cs="Times New Roman"/>
          <w:color w:val="auto"/>
          <w:highlight w:val="none"/>
          <w:lang w:val="zh-TW"/>
        </w:rPr>
        <w:t>%，偏差主要原因是手续办理及资金支付进度慢，财政年底扎帐导致资金支付未到100%，改进措施：下一步将加快资金支付手续办理，避免财政扎帐导致资金未支付情况。</w:t>
      </w:r>
    </w:p>
    <w:p w14:paraId="24591260">
      <w:pPr>
        <w:pStyle w:val="3"/>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74B63214">
      <w:pPr>
        <w:bidi w:val="0"/>
        <w:rPr>
          <w:rFonts w:hint="eastAsia" w:cs="Times New Roman"/>
          <w:color w:val="auto"/>
          <w:highlight w:val="none"/>
          <w:lang w:val="zh-TW"/>
        </w:rPr>
      </w:pPr>
      <w:r>
        <w:rPr>
          <w:rFonts w:hint="eastAsia" w:cs="Times New Roman"/>
          <w:color w:val="auto"/>
          <w:highlight w:val="none"/>
          <w:lang w:val="zh-TW" w:eastAsia="zh-TW"/>
        </w:rPr>
        <w:t>项目</w:t>
      </w:r>
      <w:r>
        <w:rPr>
          <w:rFonts w:hint="eastAsia" w:cs="Times New Roman"/>
          <w:color w:val="auto"/>
          <w:highlight w:val="none"/>
          <w:lang w:val="zh-TW"/>
        </w:rPr>
        <w:t>效益</w:t>
      </w:r>
      <w:r>
        <w:rPr>
          <w:rFonts w:hint="eastAsia" w:cs="Times New Roman"/>
          <w:color w:val="auto"/>
          <w:highlight w:val="none"/>
          <w:lang w:val="zh-TW" w:eastAsia="zh-TW"/>
        </w:rPr>
        <w:t>类指标由</w:t>
      </w:r>
      <w:r>
        <w:rPr>
          <w:rFonts w:hint="eastAsia" w:cs="Times New Roman"/>
          <w:color w:val="auto"/>
          <w:highlight w:val="none"/>
          <w:lang w:val="en-US" w:eastAsia="zh-CN"/>
        </w:rPr>
        <w:t>2</w:t>
      </w:r>
      <w:r>
        <w:rPr>
          <w:rFonts w:hint="eastAsia" w:cs="Times New Roman"/>
          <w:color w:val="auto"/>
          <w:highlight w:val="none"/>
          <w:lang w:val="zh-TW" w:eastAsia="zh-TW"/>
        </w:rPr>
        <w:t>个</w:t>
      </w:r>
      <w:r>
        <w:rPr>
          <w:rFonts w:hint="eastAsia" w:cs="Times New Roman"/>
          <w:color w:val="auto"/>
          <w:highlight w:val="none"/>
          <w:lang w:val="zh-TW"/>
        </w:rPr>
        <w:t>二</w:t>
      </w:r>
      <w:r>
        <w:rPr>
          <w:rFonts w:hint="eastAsia" w:cs="Times New Roman"/>
          <w:color w:val="auto"/>
          <w:highlight w:val="none"/>
          <w:lang w:val="zh-TW" w:eastAsia="zh-TW"/>
        </w:rPr>
        <w:t>级指标和</w:t>
      </w:r>
      <w:r>
        <w:rPr>
          <w:rFonts w:hint="eastAsia" w:cs="Times New Roman"/>
          <w:color w:val="auto"/>
          <w:highlight w:val="none"/>
          <w:lang w:val="en-US" w:eastAsia="zh-CN"/>
        </w:rPr>
        <w:t>3</w:t>
      </w:r>
      <w:r>
        <w:rPr>
          <w:rFonts w:hint="eastAsia" w:cs="Times New Roman"/>
          <w:color w:val="auto"/>
          <w:highlight w:val="none"/>
          <w:lang w:val="zh-TW" w:eastAsia="zh-TW"/>
        </w:rPr>
        <w:t>个</w:t>
      </w:r>
      <w:r>
        <w:rPr>
          <w:rFonts w:hint="eastAsia" w:cs="Times New Roman"/>
          <w:color w:val="auto"/>
          <w:highlight w:val="none"/>
          <w:lang w:val="zh-TW"/>
        </w:rPr>
        <w:t>三</w:t>
      </w:r>
      <w:r>
        <w:rPr>
          <w:rFonts w:hint="eastAsia" w:cs="Times New Roman"/>
          <w:color w:val="auto"/>
          <w:highlight w:val="none"/>
          <w:lang w:val="zh-TW" w:eastAsia="zh-TW"/>
        </w:rPr>
        <w:t>级指标构成，权重分</w:t>
      </w:r>
      <w:r>
        <w:rPr>
          <w:rFonts w:hint="eastAsia" w:cs="Times New Roman"/>
          <w:color w:val="auto"/>
          <w:highlight w:val="none"/>
          <w:lang w:val="en-US" w:eastAsia="zh-CN"/>
        </w:rPr>
        <w:t>3</w:t>
      </w:r>
      <w:r>
        <w:rPr>
          <w:rFonts w:hint="eastAsia" w:cs="Times New Roman"/>
          <w:color w:val="auto"/>
          <w:highlight w:val="none"/>
          <w:lang w:val="zh-TW"/>
        </w:rPr>
        <w:t>0</w:t>
      </w:r>
      <w:r>
        <w:rPr>
          <w:rFonts w:hint="eastAsia" w:cs="Times New Roman"/>
          <w:color w:val="auto"/>
          <w:highlight w:val="none"/>
          <w:lang w:val="zh-TW" w:eastAsia="zh-TW"/>
        </w:rPr>
        <w:t>分，实际得分</w:t>
      </w:r>
      <w:r>
        <w:rPr>
          <w:rFonts w:hint="eastAsia" w:cs="Times New Roman"/>
          <w:color w:val="auto"/>
          <w:highlight w:val="none"/>
          <w:lang w:val="en-US" w:eastAsia="zh-CN"/>
        </w:rPr>
        <w:t>30</w:t>
      </w:r>
      <w:r>
        <w:rPr>
          <w:rFonts w:hint="eastAsia" w:cs="Times New Roman"/>
          <w:color w:val="auto"/>
          <w:highlight w:val="none"/>
          <w:lang w:val="zh-TW" w:eastAsia="zh-TW"/>
        </w:rPr>
        <w:t>分</w:t>
      </w:r>
      <w:r>
        <w:rPr>
          <w:rFonts w:hint="eastAsia" w:cs="Times New Roman"/>
          <w:color w:val="auto"/>
          <w:highlight w:val="none"/>
          <w:lang w:val="zh-TW"/>
        </w:rPr>
        <w:t>。</w:t>
      </w:r>
    </w:p>
    <w:p w14:paraId="1CE163A3">
      <w:pPr>
        <w:pStyle w:val="4"/>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3656346E">
      <w:pPr>
        <w:ind w:firstLine="560"/>
        <w:rPr>
          <w:rFonts w:hint="eastAsia" w:cs="仿宋_GB2312"/>
          <w:color w:val="auto"/>
          <w:highlight w:val="none"/>
          <w:u w:color="000000"/>
          <w:lang w:val="zh-TW" w:eastAsia="zh-TW"/>
        </w:rPr>
      </w:pPr>
      <w:r>
        <w:rPr>
          <w:rFonts w:hint="eastAsia" w:cs="仿宋_GB2312"/>
          <w:color w:val="auto"/>
          <w:highlight w:val="none"/>
          <w:u w:color="000000"/>
          <w:lang w:val="zh-TW" w:eastAsia="zh-TW"/>
        </w:rPr>
        <w:t>“非遗传承人传播覆盖人群增长率”指标：预期指标值为≥5%，实际完成指标值为5%，指标完成率为</w:t>
      </w:r>
      <w:r>
        <w:rPr>
          <w:rFonts w:hint="eastAsia" w:cs="仿宋_GB2312"/>
          <w:color w:val="auto"/>
          <w:highlight w:val="none"/>
          <w:u w:color="000000"/>
          <w:lang w:val="en-US" w:eastAsia="zh-CN"/>
        </w:rPr>
        <w:t>100</w:t>
      </w:r>
      <w:r>
        <w:rPr>
          <w:rFonts w:hint="eastAsia" w:cs="仿宋_GB2312"/>
          <w:color w:val="auto"/>
          <w:highlight w:val="none"/>
          <w:u w:color="000000"/>
          <w:lang w:val="zh-TW" w:eastAsia="zh-TW"/>
        </w:rPr>
        <w:t>%，偏差率</w:t>
      </w:r>
      <w:r>
        <w:rPr>
          <w:rFonts w:hint="eastAsia" w:cs="仿宋_GB2312"/>
          <w:color w:val="auto"/>
          <w:highlight w:val="none"/>
          <w:u w:color="000000"/>
          <w:lang w:val="en-US" w:eastAsia="zh-CN"/>
        </w:rPr>
        <w:t>0</w:t>
      </w:r>
      <w:r>
        <w:rPr>
          <w:rFonts w:hint="eastAsia" w:cs="仿宋_GB2312"/>
          <w:color w:val="auto"/>
          <w:highlight w:val="none"/>
          <w:u w:color="000000"/>
          <w:lang w:val="zh-TW" w:eastAsia="zh-TW"/>
        </w:rPr>
        <w:t>%。</w:t>
      </w:r>
    </w:p>
    <w:p w14:paraId="37D8F789">
      <w:pPr>
        <w:ind w:firstLine="560"/>
        <w:rPr>
          <w:rFonts w:hint="eastAsia" w:cs="仿宋_GB2312"/>
          <w:color w:val="auto"/>
          <w:highlight w:val="none"/>
          <w:u w:color="000000"/>
          <w:lang w:val="zh-TW" w:eastAsia="zh-TW"/>
        </w:rPr>
      </w:pPr>
      <w:r>
        <w:rPr>
          <w:rFonts w:hint="eastAsia" w:cs="仿宋_GB2312"/>
          <w:color w:val="auto"/>
          <w:highlight w:val="none"/>
          <w:u w:color="000000"/>
          <w:lang w:val="zh-TW" w:eastAsia="zh-TW"/>
        </w:rPr>
        <w:t>“对增强非遗保护传承氛围的影响”指标：预期指标值为有效增强，实际完成指标值为达成目标，指标完成率为</w:t>
      </w:r>
      <w:r>
        <w:rPr>
          <w:rFonts w:hint="eastAsia" w:cs="仿宋_GB2312"/>
          <w:color w:val="auto"/>
          <w:highlight w:val="none"/>
          <w:u w:color="000000"/>
          <w:lang w:val="en-US" w:eastAsia="zh-CN"/>
        </w:rPr>
        <w:t>100</w:t>
      </w:r>
      <w:r>
        <w:rPr>
          <w:rFonts w:hint="eastAsia" w:cs="仿宋_GB2312"/>
          <w:color w:val="auto"/>
          <w:highlight w:val="none"/>
          <w:u w:color="000000"/>
          <w:lang w:val="zh-TW" w:eastAsia="zh-TW"/>
        </w:rPr>
        <w:t>%，偏差率</w:t>
      </w:r>
      <w:r>
        <w:rPr>
          <w:rFonts w:hint="eastAsia" w:cs="仿宋_GB2312"/>
          <w:color w:val="auto"/>
          <w:highlight w:val="none"/>
          <w:u w:color="000000"/>
          <w:lang w:val="en-US" w:eastAsia="zh-CN"/>
        </w:rPr>
        <w:t>0</w:t>
      </w:r>
      <w:r>
        <w:rPr>
          <w:rFonts w:hint="eastAsia" w:cs="仿宋_GB2312"/>
          <w:color w:val="auto"/>
          <w:highlight w:val="none"/>
          <w:u w:color="000000"/>
          <w:lang w:val="zh-TW" w:eastAsia="zh-TW"/>
        </w:rPr>
        <w:t>%。</w:t>
      </w:r>
    </w:p>
    <w:p w14:paraId="00857FC7">
      <w:pPr>
        <w:pStyle w:val="4"/>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60FEFA70">
      <w:pPr>
        <w:ind w:firstLine="560"/>
        <w:rPr>
          <w:rFonts w:hint="eastAsia" w:cs="仿宋_GB2312"/>
          <w:color w:val="auto"/>
          <w:highlight w:val="none"/>
          <w:u w:color="000000"/>
          <w:lang w:val="zh-TW" w:eastAsia="zh-TW"/>
        </w:rPr>
      </w:pPr>
      <w:r>
        <w:rPr>
          <w:rFonts w:hint="eastAsia" w:cs="仿宋_GB2312"/>
          <w:color w:val="auto"/>
          <w:highlight w:val="none"/>
          <w:u w:color="000000"/>
          <w:lang w:val="zh-TW" w:eastAsia="zh-TW"/>
        </w:rPr>
        <w:t>“非遗保护与传承活动受益公众满意度”指标：预期指标值为≥90%，实际完成指标值为</w:t>
      </w:r>
      <w:r>
        <w:rPr>
          <w:rFonts w:hint="eastAsia" w:cs="仿宋_GB2312"/>
          <w:color w:val="auto"/>
          <w:highlight w:val="none"/>
          <w:u w:color="000000"/>
          <w:lang w:val="en-US" w:eastAsia="zh-CN"/>
        </w:rPr>
        <w:t>100</w:t>
      </w:r>
      <w:r>
        <w:rPr>
          <w:rFonts w:hint="eastAsia" w:cs="仿宋_GB2312"/>
          <w:color w:val="auto"/>
          <w:highlight w:val="none"/>
          <w:u w:color="000000"/>
          <w:lang w:val="zh-TW" w:eastAsia="zh-TW"/>
        </w:rPr>
        <w:t>%，指标完成率为</w:t>
      </w:r>
      <w:r>
        <w:rPr>
          <w:rFonts w:hint="eastAsia" w:cs="仿宋_GB2312"/>
          <w:color w:val="auto"/>
          <w:highlight w:val="none"/>
          <w:u w:color="000000"/>
          <w:lang w:val="en-US" w:eastAsia="zh-CN"/>
        </w:rPr>
        <w:t>100</w:t>
      </w:r>
      <w:r>
        <w:rPr>
          <w:rFonts w:hint="eastAsia" w:cs="仿宋_GB2312"/>
          <w:color w:val="auto"/>
          <w:highlight w:val="none"/>
          <w:u w:color="000000"/>
          <w:lang w:val="zh-TW" w:eastAsia="zh-TW"/>
        </w:rPr>
        <w:t>%，偏差率</w:t>
      </w:r>
      <w:r>
        <w:rPr>
          <w:rFonts w:hint="eastAsia" w:cs="仿宋_GB2312"/>
          <w:color w:val="auto"/>
          <w:highlight w:val="none"/>
          <w:u w:color="000000"/>
          <w:lang w:val="en-US" w:eastAsia="zh-CN"/>
        </w:rPr>
        <w:t>0</w:t>
      </w:r>
      <w:r>
        <w:rPr>
          <w:rFonts w:hint="eastAsia" w:cs="仿宋_GB2312"/>
          <w:color w:val="auto"/>
          <w:highlight w:val="none"/>
          <w:u w:color="000000"/>
          <w:lang w:val="zh-TW" w:eastAsia="zh-TW"/>
        </w:rPr>
        <w:t>%。</w:t>
      </w:r>
    </w:p>
    <w:p w14:paraId="3EEF2520">
      <w:pPr>
        <w:pStyle w:val="2"/>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18621E75">
      <w:pPr>
        <w:ind w:firstLine="560"/>
        <w:rPr>
          <w:rFonts w:hint="eastAsia" w:cs="仿宋_GB2312"/>
          <w:color w:val="auto"/>
          <w:highlight w:val="none"/>
          <w:u w:color="000000"/>
          <w:lang w:val="en-US" w:eastAsia="zh-CN"/>
        </w:rPr>
      </w:pPr>
      <w:r>
        <w:rPr>
          <w:rFonts w:hint="eastAsia" w:cs="仿宋_GB2312"/>
          <w:color w:val="auto"/>
          <w:highlight w:val="none"/>
          <w:u w:color="000000"/>
          <w:lang w:val="zh-TW" w:eastAsia="zh-CN"/>
        </w:rPr>
        <w:t>本项目年初预算资金总额为</w:t>
      </w:r>
      <w:r>
        <w:rPr>
          <w:rFonts w:hint="eastAsia" w:cs="仿宋_GB2312"/>
          <w:color w:val="auto"/>
          <w:highlight w:val="none"/>
          <w:u w:color="000000"/>
          <w:lang w:val="en-US" w:eastAsia="zh-CN"/>
        </w:rPr>
        <w:t>20万元，全年预算数为20万元，全年执行数为19.99万元，预算执行率为99.95%。</w:t>
      </w:r>
    </w:p>
    <w:p w14:paraId="652BAEC9">
      <w:pPr>
        <w:ind w:firstLine="560"/>
        <w:rPr>
          <w:rFonts w:hint="eastAsia" w:cs="仿宋_GB2312"/>
          <w:color w:val="auto"/>
          <w:highlight w:val="none"/>
          <w:u w:color="000000"/>
          <w:lang w:val="zh-TW" w:eastAsia="zh-TW"/>
        </w:rPr>
      </w:pPr>
      <w:r>
        <w:rPr>
          <w:rFonts w:hint="eastAsia" w:cs="仿宋_GB2312"/>
          <w:color w:val="auto"/>
          <w:highlight w:val="none"/>
          <w:u w:color="000000"/>
          <w:lang w:val="zh-TW" w:eastAsia="zh-TW"/>
        </w:rPr>
        <w:t>本项目共设置三级指标数量</w:t>
      </w:r>
      <w:r>
        <w:rPr>
          <w:rFonts w:hint="eastAsia" w:cs="仿宋_GB2312"/>
          <w:color w:val="auto"/>
          <w:highlight w:val="none"/>
          <w:u w:color="000000"/>
          <w:lang w:val="en-US" w:eastAsia="zh-CN"/>
        </w:rPr>
        <w:t>25</w:t>
      </w:r>
      <w:r>
        <w:rPr>
          <w:rFonts w:hint="eastAsia" w:cs="仿宋_GB2312"/>
          <w:color w:val="auto"/>
          <w:highlight w:val="none"/>
          <w:u w:color="000000"/>
          <w:lang w:val="zh-TW" w:eastAsia="zh-TW"/>
        </w:rPr>
        <w:t>个，</w:t>
      </w:r>
      <w:r>
        <w:rPr>
          <w:rFonts w:hint="eastAsia" w:cs="仿宋_GB2312"/>
          <w:color w:val="auto"/>
          <w:highlight w:val="none"/>
          <w:u w:color="000000"/>
          <w:lang w:val="zh-TW" w:eastAsia="zh-CN"/>
        </w:rPr>
        <w:t>满分指标数量</w:t>
      </w:r>
      <w:r>
        <w:rPr>
          <w:rFonts w:hint="eastAsia" w:cs="仿宋_GB2312"/>
          <w:color w:val="auto"/>
          <w:highlight w:val="none"/>
          <w:u w:color="000000"/>
          <w:lang w:val="en-US" w:eastAsia="zh-CN"/>
        </w:rPr>
        <w:t>25个，扣分指标数量0个，经分析计算所有三级指标完成率得出，本项目</w:t>
      </w:r>
      <w:r>
        <w:rPr>
          <w:rFonts w:hint="eastAsia" w:cs="仿宋_GB2312"/>
          <w:color w:val="auto"/>
          <w:highlight w:val="none"/>
          <w:u w:color="000000"/>
          <w:lang w:val="zh-TW" w:eastAsia="zh-TW"/>
        </w:rPr>
        <w:t>总体完成率为</w:t>
      </w:r>
      <w:r>
        <w:rPr>
          <w:rFonts w:hint="eastAsia" w:cs="仿宋_GB2312"/>
          <w:color w:val="auto"/>
          <w:highlight w:val="none"/>
          <w:u w:color="000000"/>
          <w:lang w:val="en-US" w:eastAsia="zh-CN"/>
        </w:rPr>
        <w:t>100%</w:t>
      </w:r>
      <w:r>
        <w:rPr>
          <w:rFonts w:hint="eastAsia" w:cs="仿宋_GB2312"/>
          <w:color w:val="auto"/>
          <w:highlight w:val="none"/>
          <w:u w:color="000000"/>
          <w:lang w:val="zh-TW" w:eastAsia="zh-TW"/>
        </w:rPr>
        <w:t>。</w:t>
      </w:r>
    </w:p>
    <w:p w14:paraId="1570F70A">
      <w:pPr>
        <w:ind w:firstLine="560"/>
        <w:rPr>
          <w:rFonts w:hint="eastAsia" w:cs="仿宋_GB2312"/>
          <w:color w:val="auto"/>
          <w:highlight w:val="none"/>
          <w:u w:color="000000"/>
          <w:lang w:val="en-US" w:eastAsia="zh-CN"/>
        </w:rPr>
      </w:pPr>
      <w:r>
        <w:rPr>
          <w:rFonts w:hint="eastAsia" w:cs="仿宋_GB2312"/>
          <w:color w:val="auto"/>
          <w:highlight w:val="none"/>
          <w:u w:color="000000"/>
          <w:lang w:val="en-US" w:eastAsia="zh-CN"/>
        </w:rPr>
        <w:t>综上所述本项目预算执行率与总体完成率之间的偏差为0.05%。</w:t>
      </w:r>
    </w:p>
    <w:p w14:paraId="322D66CD">
      <w:pPr>
        <w:ind w:firstLine="560"/>
        <w:rPr>
          <w:rFonts w:hint="default" w:cs="仿宋_GB2312"/>
          <w:color w:val="auto"/>
          <w:highlight w:val="none"/>
          <w:u w:color="000000"/>
          <w:lang w:val="en-US" w:eastAsia="zh-CN"/>
        </w:rPr>
      </w:pPr>
      <w:r>
        <w:rPr>
          <w:rFonts w:hint="default" w:cs="仿宋_GB2312"/>
          <w:color w:val="auto"/>
          <w:highlight w:val="none"/>
          <w:u w:color="000000"/>
          <w:lang w:val="zh-TW" w:eastAsia="zh-CN"/>
        </w:rPr>
        <w:t>此项目有偏离，偏差率</w:t>
      </w:r>
      <w:r>
        <w:rPr>
          <w:rFonts w:hint="eastAsia" w:cs="仿宋_GB2312"/>
          <w:color w:val="auto"/>
          <w:highlight w:val="none"/>
          <w:u w:color="000000"/>
          <w:lang w:val="en-US" w:eastAsia="zh-CN"/>
        </w:rPr>
        <w:t>0.05</w:t>
      </w:r>
      <w:r>
        <w:rPr>
          <w:rFonts w:hint="default" w:cs="仿宋_GB2312"/>
          <w:color w:val="auto"/>
          <w:highlight w:val="none"/>
          <w:u w:color="000000"/>
          <w:lang w:val="zh-TW" w:eastAsia="zh-CN"/>
        </w:rPr>
        <w:t>%，造成偏离的主要原因是手续办理及资金支付进度慢</w:t>
      </w:r>
      <w:r>
        <w:rPr>
          <w:rFonts w:hint="eastAsia" w:cs="仿宋_GB2312"/>
          <w:color w:val="auto"/>
          <w:highlight w:val="none"/>
          <w:u w:color="000000"/>
          <w:lang w:val="zh-TW" w:eastAsia="zh-CN"/>
        </w:rPr>
        <w:t>。</w:t>
      </w:r>
    </w:p>
    <w:p w14:paraId="238D407F">
      <w:pPr>
        <w:pStyle w:val="2"/>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139F3950">
      <w:pPr>
        <w:pStyle w:val="3"/>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14:paraId="3FC24098">
      <w:pPr>
        <w:pStyle w:val="3"/>
        <w:numPr>
          <w:ilvl w:val="0"/>
          <w:numId w:val="0"/>
        </w:numPr>
        <w:ind w:firstLine="840" w:firstLineChars="3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对于需要实施政府采购的项目，严格履行政府采购手续，根据不同项目的采购形式组织专家评审或公开招标，将采购政策、采购程序、采购过程规范化、透明化，提升了对社会资源和财政资金的使用效果。</w:t>
      </w:r>
    </w:p>
    <w:p w14:paraId="5730407D">
      <w:pPr>
        <w:pStyle w:val="3"/>
        <w:numPr>
          <w:ilvl w:val="0"/>
          <w:numId w:val="4"/>
        </w:numPr>
        <w:ind w:firstLine="643"/>
        <w:rPr>
          <w:color w:val="auto"/>
          <w:highlight w:val="none"/>
        </w:rPr>
      </w:pPr>
      <w:r>
        <w:rPr>
          <w:rFonts w:hint="eastAsia"/>
          <w:color w:val="auto"/>
          <w:highlight w:val="none"/>
        </w:rPr>
        <w:t>存在的问题及原因分析</w:t>
      </w:r>
    </w:p>
    <w:p w14:paraId="4247949B">
      <w:pPr>
        <w:pStyle w:val="2"/>
        <w:ind w:firstLine="643"/>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1.项目表演、艺术性有续进一步提升；影响范围还没走向全国；传承队伍相对老化、缺少中青年传承人。</w:t>
      </w:r>
    </w:p>
    <w:p w14:paraId="1E0D0A01">
      <w:pPr>
        <w:pStyle w:val="2"/>
        <w:numPr>
          <w:ilvl w:val="0"/>
          <w:numId w:val="0"/>
        </w:numPr>
        <w:ind w:firstLine="560" w:firstLine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2.本项目实际形成支出19.99万元，已完成补助国家级非遗代表性项目1个,项目审批程序复杂，建设用地指标少、审批难，因各项手续多、周期长，在一定程度上影响了资金支付进度。</w:t>
      </w:r>
    </w:p>
    <w:p w14:paraId="5939957F">
      <w:pPr>
        <w:pStyle w:val="2"/>
        <w:ind w:firstLine="643"/>
        <w:rPr>
          <w:rFonts w:hint="eastAsia"/>
          <w:color w:val="auto"/>
          <w:highlight w:val="none"/>
        </w:rPr>
      </w:pPr>
      <w:r>
        <w:rPr>
          <w:rFonts w:hint="eastAsia"/>
          <w:color w:val="auto"/>
          <w:highlight w:val="none"/>
          <w:lang w:eastAsia="zh-CN"/>
        </w:rPr>
        <w:t>七</w:t>
      </w:r>
      <w:r>
        <w:rPr>
          <w:rFonts w:hint="eastAsia"/>
          <w:color w:val="auto"/>
          <w:highlight w:val="none"/>
        </w:rPr>
        <w:t>、有关建议</w:t>
      </w:r>
    </w:p>
    <w:p w14:paraId="2EA6B0D2">
      <w:pPr>
        <w:rPr>
          <w:rFonts w:hint="eastAsia"/>
          <w:color w:val="auto"/>
          <w:highlight w:val="none"/>
        </w:rPr>
      </w:pPr>
      <w:r>
        <w:rPr>
          <w:rFonts w:hint="eastAsia"/>
          <w:color w:val="auto"/>
          <w:highlight w:val="none"/>
          <w:lang w:val="en-US" w:eastAsia="zh-CN"/>
        </w:rPr>
        <w:t>（一）</w:t>
      </w:r>
      <w:r>
        <w:rPr>
          <w:rFonts w:hint="eastAsia"/>
          <w:color w:val="auto"/>
          <w:highlight w:val="none"/>
        </w:rPr>
        <w:t>关于项目表演艺术性提升与传承队伍建设问题</w:t>
      </w:r>
    </w:p>
    <w:p w14:paraId="36E82594">
      <w:pPr>
        <w:rPr>
          <w:rFonts w:hint="eastAsia"/>
          <w:color w:val="auto"/>
          <w:highlight w:val="none"/>
        </w:rPr>
      </w:pPr>
      <w:r>
        <w:rPr>
          <w:rFonts w:hint="eastAsia"/>
          <w:color w:val="auto"/>
          <w:highlight w:val="none"/>
        </w:rPr>
        <w:t>问题分析：项目表演艺术性虽有提升空间，但受限于传统表现形式固化、创新动力不足，未能形成全国性品牌效应。同时，传承队伍呈现老龄化趋势，中青年传承人断层严重，主要原因在于传承机制单一、缺乏吸引力，以及市场化程度不足导致职业发展空间有限。</w:t>
      </w:r>
    </w:p>
    <w:p w14:paraId="437C7A8D">
      <w:pPr>
        <w:rPr>
          <w:rFonts w:hint="eastAsia"/>
          <w:color w:val="auto"/>
          <w:highlight w:val="none"/>
        </w:rPr>
      </w:pPr>
      <w:r>
        <w:rPr>
          <w:rFonts w:hint="eastAsia"/>
          <w:color w:val="auto"/>
          <w:highlight w:val="none"/>
        </w:rPr>
        <w:t>建议与措施：</w:t>
      </w:r>
    </w:p>
    <w:p w14:paraId="082D5990">
      <w:pPr>
        <w:rPr>
          <w:rFonts w:hint="eastAsia"/>
          <w:color w:val="auto"/>
          <w:highlight w:val="none"/>
        </w:rPr>
      </w:pPr>
      <w:r>
        <w:rPr>
          <w:rFonts w:hint="eastAsia"/>
          <w:color w:val="auto"/>
          <w:highlight w:val="none"/>
        </w:rPr>
        <w:t>1. 构建"传统+创新"双轨创作机制</w:t>
      </w:r>
    </w:p>
    <w:p w14:paraId="30C5BF9F">
      <w:pPr>
        <w:rPr>
          <w:rFonts w:hint="eastAsia"/>
          <w:color w:val="auto"/>
          <w:highlight w:val="none"/>
        </w:rPr>
      </w:pPr>
      <w:r>
        <w:rPr>
          <w:rFonts w:hint="eastAsia"/>
          <w:color w:val="auto"/>
          <w:highlight w:val="none"/>
        </w:rPr>
        <w:t>设立专项创作基金，鼓励传承人突破传统框架，融入现代艺术元素（如沉浸式演出、数字技术应用），打造《非遗新绎》等创新IP。联合高校艺术院系成立"非遗创新实验室"，每两年举办</w:t>
      </w:r>
      <w:r>
        <w:rPr>
          <w:rFonts w:hint="eastAsia"/>
          <w:color w:val="auto"/>
          <w:highlight w:val="none"/>
          <w:lang w:val="en-US" w:eastAsia="zh-CN"/>
        </w:rPr>
        <w:t>自治区</w:t>
      </w:r>
      <w:r>
        <w:rPr>
          <w:rFonts w:hint="eastAsia"/>
          <w:color w:val="auto"/>
          <w:highlight w:val="none"/>
        </w:rPr>
        <w:t>创新展演，评选"最佳创意奖"并给予资金扶持，激发创作活力。</w:t>
      </w:r>
    </w:p>
    <w:p w14:paraId="3B3F031E">
      <w:pPr>
        <w:rPr>
          <w:rFonts w:hint="eastAsia"/>
          <w:color w:val="auto"/>
          <w:highlight w:val="none"/>
        </w:rPr>
      </w:pPr>
      <w:r>
        <w:rPr>
          <w:rFonts w:hint="eastAsia"/>
          <w:color w:val="auto"/>
          <w:highlight w:val="none"/>
        </w:rPr>
        <w:t>2. 实施"传承新生代培育计划"</w:t>
      </w:r>
    </w:p>
    <w:p w14:paraId="3E85FE32">
      <w:pPr>
        <w:rPr>
          <w:rFonts w:hint="eastAsia"/>
          <w:color w:val="auto"/>
          <w:highlight w:val="none"/>
        </w:rPr>
      </w:pPr>
      <w:r>
        <w:rPr>
          <w:rFonts w:hint="eastAsia"/>
          <w:color w:val="auto"/>
          <w:highlight w:val="none"/>
        </w:rPr>
        <w:t>建立"老带新"师徒制与现代职业教育结合的培养模式，与职业院校共建非遗传承专业，将项目纳入国家职业技能培训目录。设立青年传承人创业扶持基金，提供场地租赁、品牌推广等支持，探索"传承人工作室+电商直播"运营模式，增强职业吸引力。</w:t>
      </w:r>
    </w:p>
    <w:p w14:paraId="4342038B">
      <w:pPr>
        <w:rPr>
          <w:rFonts w:hint="eastAsia"/>
          <w:color w:val="auto"/>
          <w:highlight w:val="none"/>
        </w:rPr>
      </w:pPr>
      <w:r>
        <w:rPr>
          <w:rFonts w:hint="eastAsia"/>
          <w:color w:val="auto"/>
          <w:highlight w:val="none"/>
          <w:lang w:eastAsia="zh-CN"/>
        </w:rPr>
        <w:t>（</w:t>
      </w:r>
      <w:r>
        <w:rPr>
          <w:rFonts w:hint="eastAsia"/>
          <w:color w:val="auto"/>
          <w:highlight w:val="none"/>
          <w:lang w:val="en-US" w:eastAsia="zh-CN"/>
        </w:rPr>
        <w:t>二</w:t>
      </w:r>
      <w:r>
        <w:rPr>
          <w:rFonts w:hint="eastAsia"/>
          <w:color w:val="auto"/>
          <w:highlight w:val="none"/>
          <w:lang w:eastAsia="zh-CN"/>
        </w:rPr>
        <w:t>）</w:t>
      </w:r>
      <w:r>
        <w:rPr>
          <w:rFonts w:hint="eastAsia"/>
          <w:color w:val="auto"/>
          <w:highlight w:val="none"/>
        </w:rPr>
        <w:t>关于项目资金使用与审批效率问题</w:t>
      </w:r>
    </w:p>
    <w:p w14:paraId="426C7D1F">
      <w:pPr>
        <w:rPr>
          <w:rFonts w:hint="eastAsia"/>
          <w:color w:val="auto"/>
          <w:highlight w:val="none"/>
        </w:rPr>
      </w:pPr>
      <w:r>
        <w:rPr>
          <w:rFonts w:hint="eastAsia"/>
          <w:color w:val="auto"/>
          <w:highlight w:val="none"/>
        </w:rPr>
        <w:t>问题分析：项目资金支付进度滞后，主要受制于复杂的审批流程与用地指标限制。现有审批涉及文旅、国土、环保等多部门，前置条件多且缺乏协同机制，导致项目落地周期长达12-18个月，影响资金使用效率。</w:t>
      </w:r>
    </w:p>
    <w:p w14:paraId="39857448">
      <w:pPr>
        <w:rPr>
          <w:rFonts w:hint="eastAsia"/>
          <w:color w:val="auto"/>
          <w:highlight w:val="none"/>
        </w:rPr>
      </w:pPr>
      <w:r>
        <w:rPr>
          <w:rFonts w:hint="eastAsia"/>
          <w:color w:val="auto"/>
          <w:highlight w:val="none"/>
        </w:rPr>
        <w:t>建议与措施：</w:t>
      </w:r>
    </w:p>
    <w:p w14:paraId="6A1D9F36">
      <w:pPr>
        <w:rPr>
          <w:rFonts w:hint="eastAsia"/>
          <w:color w:val="auto"/>
          <w:highlight w:val="none"/>
        </w:rPr>
      </w:pPr>
      <w:r>
        <w:rPr>
          <w:rFonts w:hint="eastAsia"/>
          <w:color w:val="auto"/>
          <w:highlight w:val="none"/>
        </w:rPr>
        <w:t>1. 建立"非遗项目绿色通道"审批机制</w:t>
      </w:r>
    </w:p>
    <w:p w14:paraId="4823D762">
      <w:pPr>
        <w:rPr>
          <w:rFonts w:hint="eastAsia"/>
          <w:color w:val="auto"/>
          <w:highlight w:val="none"/>
        </w:rPr>
      </w:pPr>
      <w:r>
        <w:rPr>
          <w:rFonts w:hint="eastAsia"/>
          <w:color w:val="auto"/>
          <w:highlight w:val="none"/>
        </w:rPr>
        <w:t>由县级以上政府牵头成立专项工作组，推行"一窗受理、并联审批"模式。制定标准化审批清单，明确各环节办理时限（如土地预审7个工作日、环评公示15个工作日），对非遗基础设施项目实行用地指标单列，优先保障建设用地需求。</w:t>
      </w:r>
    </w:p>
    <w:p w14:paraId="6AEFC42F">
      <w:pPr>
        <w:rPr>
          <w:rFonts w:hint="eastAsia"/>
          <w:color w:val="auto"/>
          <w:highlight w:val="none"/>
        </w:rPr>
      </w:pPr>
      <w:r>
        <w:rPr>
          <w:rFonts w:hint="eastAsia"/>
          <w:color w:val="auto"/>
          <w:highlight w:val="none"/>
        </w:rPr>
        <w:t>2. 创新"分期实施+动态调整"资金管理模式</w:t>
      </w:r>
    </w:p>
    <w:p w14:paraId="6D89ECA4">
      <w:pPr>
        <w:rPr>
          <w:rFonts w:hint="eastAsia"/>
          <w:color w:val="auto"/>
          <w:highlight w:val="none"/>
        </w:rPr>
      </w:pPr>
      <w:r>
        <w:rPr>
          <w:rFonts w:hint="eastAsia"/>
          <w:color w:val="auto"/>
          <w:highlight w:val="none"/>
        </w:rPr>
        <w:t>将项目拆分为前期准备、主体建设、运营推广三个阶段，对具备实施条件的子项目允许提前申请资金预拨。建立资金使用进度预警系统，对连续两个月支出低于计划30%的项目启动专项督导，协调解决堵点问题。</w:t>
      </w:r>
    </w:p>
    <w:p w14:paraId="613F11B0">
      <w:pPr>
        <w:pStyle w:val="2"/>
        <w:rPr>
          <w:color w:val="auto"/>
          <w:highlight w:val="none"/>
        </w:rPr>
      </w:pPr>
      <w:r>
        <w:rPr>
          <w:rFonts w:hint="eastAsia"/>
          <w:color w:val="auto"/>
          <w:highlight w:val="none"/>
          <w:lang w:eastAsia="zh-CN"/>
        </w:rPr>
        <w:t>八</w:t>
      </w:r>
      <w:r>
        <w:rPr>
          <w:rFonts w:hint="eastAsia"/>
          <w:color w:val="auto"/>
          <w:highlight w:val="none"/>
        </w:rPr>
        <w:t>、其他需要说明的问题</w:t>
      </w:r>
    </w:p>
    <w:p w14:paraId="4A48AD1D">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69024281">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4AF383BC">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31A8C7E4">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35F63EA3">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1B4B1B51">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9AA2AC7">
      <w:pPr>
        <w:pStyle w:val="2"/>
        <w:ind w:firstLine="640"/>
        <w:rPr>
          <w:color w:val="auto"/>
          <w:highlight w:val="none"/>
        </w:rPr>
      </w:pPr>
      <w:r>
        <w:rPr>
          <w:rFonts w:hint="eastAsia"/>
          <w:color w:val="auto"/>
          <w:highlight w:val="none"/>
          <w:lang w:eastAsia="zh-CN"/>
        </w:rPr>
        <w:t>九、</w:t>
      </w:r>
      <w:r>
        <w:rPr>
          <w:rFonts w:hint="eastAsia"/>
          <w:color w:val="auto"/>
          <w:highlight w:val="none"/>
        </w:rPr>
        <w:t>附表</w:t>
      </w:r>
    </w:p>
    <w:p w14:paraId="0E6148DC">
      <w:pPr>
        <w:ind w:firstLine="560"/>
        <w:rPr>
          <w:color w:val="auto"/>
          <w:highlight w:val="none"/>
        </w:rPr>
      </w:pPr>
      <w:r>
        <w:rPr>
          <w:rFonts w:hint="eastAsia"/>
          <w:color w:val="auto"/>
          <w:highlight w:val="none"/>
          <w:lang w:val="en-US" w:eastAsia="zh-CN"/>
        </w:rPr>
        <w:t>附件1：项目支出绩效评价绩效评价体系</w:t>
      </w:r>
    </w:p>
    <w:p w14:paraId="0EB15E43">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29AEE463">
      <w:pPr>
        <w:pStyle w:val="4"/>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方正舒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17C05F">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0EE61C">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55359">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F9436">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CCDCA1">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0CCDCA1">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157F61">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68C142">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257099">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A0BA5"/>
    <w:rsid w:val="00E01AC9"/>
    <w:rsid w:val="00EC4605"/>
    <w:rsid w:val="00F77FAE"/>
    <w:rsid w:val="00FB5B81"/>
    <w:rsid w:val="00FE2E85"/>
    <w:rsid w:val="01171993"/>
    <w:rsid w:val="01210E75"/>
    <w:rsid w:val="01452964"/>
    <w:rsid w:val="01AF70E0"/>
    <w:rsid w:val="01E925F2"/>
    <w:rsid w:val="02160BCD"/>
    <w:rsid w:val="032D4760"/>
    <w:rsid w:val="038720C2"/>
    <w:rsid w:val="03BB00BF"/>
    <w:rsid w:val="04FF572D"/>
    <w:rsid w:val="054D733B"/>
    <w:rsid w:val="062A1ADC"/>
    <w:rsid w:val="066F70AA"/>
    <w:rsid w:val="0687062B"/>
    <w:rsid w:val="0708351A"/>
    <w:rsid w:val="078F4B1A"/>
    <w:rsid w:val="07927288"/>
    <w:rsid w:val="07FC0BA5"/>
    <w:rsid w:val="08613011"/>
    <w:rsid w:val="09616F12"/>
    <w:rsid w:val="09944CF1"/>
    <w:rsid w:val="099D6902"/>
    <w:rsid w:val="0A0276DE"/>
    <w:rsid w:val="0A3E54A5"/>
    <w:rsid w:val="0A401CF1"/>
    <w:rsid w:val="0AAE6186"/>
    <w:rsid w:val="0AD64679"/>
    <w:rsid w:val="0B5D7BAD"/>
    <w:rsid w:val="0B9908F1"/>
    <w:rsid w:val="0C757A49"/>
    <w:rsid w:val="0CB12375"/>
    <w:rsid w:val="0CEA5F50"/>
    <w:rsid w:val="0D537DC9"/>
    <w:rsid w:val="0D885E3E"/>
    <w:rsid w:val="0DAE2941"/>
    <w:rsid w:val="0DB13246"/>
    <w:rsid w:val="0DBE2E42"/>
    <w:rsid w:val="0E26072A"/>
    <w:rsid w:val="0E4F1A2E"/>
    <w:rsid w:val="0E5451B9"/>
    <w:rsid w:val="0E760F4E"/>
    <w:rsid w:val="0F307AB2"/>
    <w:rsid w:val="0F9A13CF"/>
    <w:rsid w:val="0F9F0794"/>
    <w:rsid w:val="0FD82DB5"/>
    <w:rsid w:val="0FF97F53"/>
    <w:rsid w:val="104B26C9"/>
    <w:rsid w:val="10DC1AB7"/>
    <w:rsid w:val="1103023A"/>
    <w:rsid w:val="114A472F"/>
    <w:rsid w:val="118C0775"/>
    <w:rsid w:val="11965BC6"/>
    <w:rsid w:val="128D0D77"/>
    <w:rsid w:val="129B16E6"/>
    <w:rsid w:val="12EF558E"/>
    <w:rsid w:val="12F1313F"/>
    <w:rsid w:val="12FD2775"/>
    <w:rsid w:val="131E7C21"/>
    <w:rsid w:val="13B011C1"/>
    <w:rsid w:val="148B7538"/>
    <w:rsid w:val="14B94A0A"/>
    <w:rsid w:val="15DD2016"/>
    <w:rsid w:val="15EC04AB"/>
    <w:rsid w:val="1609105D"/>
    <w:rsid w:val="16322361"/>
    <w:rsid w:val="16E217E2"/>
    <w:rsid w:val="17AF7810"/>
    <w:rsid w:val="18650227"/>
    <w:rsid w:val="18DA45EA"/>
    <w:rsid w:val="19202945"/>
    <w:rsid w:val="19BA510D"/>
    <w:rsid w:val="1A002E18"/>
    <w:rsid w:val="1A041D47"/>
    <w:rsid w:val="1BE22134"/>
    <w:rsid w:val="1BEA0FE8"/>
    <w:rsid w:val="1C3B1844"/>
    <w:rsid w:val="1C4A596B"/>
    <w:rsid w:val="1E454BFC"/>
    <w:rsid w:val="1F574BE7"/>
    <w:rsid w:val="1FDC50EC"/>
    <w:rsid w:val="20A2086D"/>
    <w:rsid w:val="20A32962"/>
    <w:rsid w:val="20B21A37"/>
    <w:rsid w:val="21817779"/>
    <w:rsid w:val="21A41209"/>
    <w:rsid w:val="22714212"/>
    <w:rsid w:val="2302130E"/>
    <w:rsid w:val="236636BF"/>
    <w:rsid w:val="23C93BD9"/>
    <w:rsid w:val="23FB43ED"/>
    <w:rsid w:val="244A2AA7"/>
    <w:rsid w:val="245E1E24"/>
    <w:rsid w:val="24747FE9"/>
    <w:rsid w:val="250C1FD0"/>
    <w:rsid w:val="2524556B"/>
    <w:rsid w:val="252C0894"/>
    <w:rsid w:val="256845EA"/>
    <w:rsid w:val="25A91CF5"/>
    <w:rsid w:val="2634523F"/>
    <w:rsid w:val="26357304"/>
    <w:rsid w:val="26EF3957"/>
    <w:rsid w:val="274719E5"/>
    <w:rsid w:val="27AD52BD"/>
    <w:rsid w:val="2890116A"/>
    <w:rsid w:val="289879A1"/>
    <w:rsid w:val="28A61969"/>
    <w:rsid w:val="28E60D8A"/>
    <w:rsid w:val="29C05630"/>
    <w:rsid w:val="29CC4423"/>
    <w:rsid w:val="2A053F0F"/>
    <w:rsid w:val="2A0C569A"/>
    <w:rsid w:val="2A5C3075"/>
    <w:rsid w:val="2B195446"/>
    <w:rsid w:val="2B1F5779"/>
    <w:rsid w:val="2C103347"/>
    <w:rsid w:val="2C403A67"/>
    <w:rsid w:val="2CF972DD"/>
    <w:rsid w:val="2D933E18"/>
    <w:rsid w:val="2DC37189"/>
    <w:rsid w:val="2DFA2E97"/>
    <w:rsid w:val="2E33681F"/>
    <w:rsid w:val="2E483E7E"/>
    <w:rsid w:val="2F172BD8"/>
    <w:rsid w:val="2FCE2953"/>
    <w:rsid w:val="2FDE37A9"/>
    <w:rsid w:val="2FED0DE1"/>
    <w:rsid w:val="30E70E80"/>
    <w:rsid w:val="315B7BD0"/>
    <w:rsid w:val="31772D94"/>
    <w:rsid w:val="3264344B"/>
    <w:rsid w:val="32F12309"/>
    <w:rsid w:val="3305724B"/>
    <w:rsid w:val="332F7DDD"/>
    <w:rsid w:val="33944516"/>
    <w:rsid w:val="33DC6B92"/>
    <w:rsid w:val="33FE342B"/>
    <w:rsid w:val="34EA39B0"/>
    <w:rsid w:val="34EC7728"/>
    <w:rsid w:val="3522787D"/>
    <w:rsid w:val="356C061A"/>
    <w:rsid w:val="35883BBF"/>
    <w:rsid w:val="36185B49"/>
    <w:rsid w:val="37076A9B"/>
    <w:rsid w:val="379F4CA9"/>
    <w:rsid w:val="38002096"/>
    <w:rsid w:val="386532D8"/>
    <w:rsid w:val="386A108F"/>
    <w:rsid w:val="38755F0C"/>
    <w:rsid w:val="38C7435B"/>
    <w:rsid w:val="38CC7587"/>
    <w:rsid w:val="394E645F"/>
    <w:rsid w:val="39650B88"/>
    <w:rsid w:val="3A2A1737"/>
    <w:rsid w:val="3A5D0DB1"/>
    <w:rsid w:val="3A8B235A"/>
    <w:rsid w:val="3AF811CC"/>
    <w:rsid w:val="3B084B8F"/>
    <w:rsid w:val="3B494C2A"/>
    <w:rsid w:val="3B585B17"/>
    <w:rsid w:val="3B7D7E5B"/>
    <w:rsid w:val="3BB84807"/>
    <w:rsid w:val="3C243C4B"/>
    <w:rsid w:val="3C494A2A"/>
    <w:rsid w:val="3C9E1AD1"/>
    <w:rsid w:val="3E04329F"/>
    <w:rsid w:val="3E2E0DB1"/>
    <w:rsid w:val="3ED352AD"/>
    <w:rsid w:val="3ED454B4"/>
    <w:rsid w:val="3ED835C0"/>
    <w:rsid w:val="3F073ADC"/>
    <w:rsid w:val="3F165ACD"/>
    <w:rsid w:val="402112BD"/>
    <w:rsid w:val="413E2617"/>
    <w:rsid w:val="41821C36"/>
    <w:rsid w:val="426D5922"/>
    <w:rsid w:val="430C36FA"/>
    <w:rsid w:val="446A2417"/>
    <w:rsid w:val="452E4907"/>
    <w:rsid w:val="453453BA"/>
    <w:rsid w:val="45B3721B"/>
    <w:rsid w:val="467A4511"/>
    <w:rsid w:val="471D7DA5"/>
    <w:rsid w:val="477C493B"/>
    <w:rsid w:val="47D6229D"/>
    <w:rsid w:val="489F4D85"/>
    <w:rsid w:val="4929464F"/>
    <w:rsid w:val="49DF11B1"/>
    <w:rsid w:val="4A94466D"/>
    <w:rsid w:val="4A996944"/>
    <w:rsid w:val="4B023934"/>
    <w:rsid w:val="4B103D18"/>
    <w:rsid w:val="4B545786"/>
    <w:rsid w:val="4C0D64AA"/>
    <w:rsid w:val="4C3216AC"/>
    <w:rsid w:val="4C365A00"/>
    <w:rsid w:val="4C634CC3"/>
    <w:rsid w:val="4C6360CA"/>
    <w:rsid w:val="4D100DF6"/>
    <w:rsid w:val="4D600BD3"/>
    <w:rsid w:val="4E4A6D47"/>
    <w:rsid w:val="4EC15329"/>
    <w:rsid w:val="4F733A2D"/>
    <w:rsid w:val="4FA47125"/>
    <w:rsid w:val="4FB67747"/>
    <w:rsid w:val="4FD56C07"/>
    <w:rsid w:val="4FEA274C"/>
    <w:rsid w:val="4FEB0B25"/>
    <w:rsid w:val="500656EA"/>
    <w:rsid w:val="5079410E"/>
    <w:rsid w:val="511FF2A1"/>
    <w:rsid w:val="517D392F"/>
    <w:rsid w:val="51EE3FC3"/>
    <w:rsid w:val="521C2FA3"/>
    <w:rsid w:val="533E33EC"/>
    <w:rsid w:val="53E915AA"/>
    <w:rsid w:val="55A5494A"/>
    <w:rsid w:val="55F8686E"/>
    <w:rsid w:val="56450363"/>
    <w:rsid w:val="56803BC3"/>
    <w:rsid w:val="56FD7960"/>
    <w:rsid w:val="574D21AF"/>
    <w:rsid w:val="57CE0F24"/>
    <w:rsid w:val="598A113A"/>
    <w:rsid w:val="59C02DAD"/>
    <w:rsid w:val="5A203C4E"/>
    <w:rsid w:val="5A315A59"/>
    <w:rsid w:val="5B1433B1"/>
    <w:rsid w:val="5C053BC9"/>
    <w:rsid w:val="5C0731FC"/>
    <w:rsid w:val="5D185EBF"/>
    <w:rsid w:val="5E0A0A9B"/>
    <w:rsid w:val="5E27164D"/>
    <w:rsid w:val="5E5732CD"/>
    <w:rsid w:val="5F105C3D"/>
    <w:rsid w:val="5F8C544C"/>
    <w:rsid w:val="5F9C5101"/>
    <w:rsid w:val="5FA12D39"/>
    <w:rsid w:val="5FAD3ACF"/>
    <w:rsid w:val="60185660"/>
    <w:rsid w:val="60681AA9"/>
    <w:rsid w:val="60827AAC"/>
    <w:rsid w:val="610A0480"/>
    <w:rsid w:val="618129F7"/>
    <w:rsid w:val="62644308"/>
    <w:rsid w:val="626F3307"/>
    <w:rsid w:val="62EE2619"/>
    <w:rsid w:val="63892462"/>
    <w:rsid w:val="63D27C36"/>
    <w:rsid w:val="649317EA"/>
    <w:rsid w:val="653A5570"/>
    <w:rsid w:val="65AC2438"/>
    <w:rsid w:val="66F91E37"/>
    <w:rsid w:val="68291A1A"/>
    <w:rsid w:val="689618A9"/>
    <w:rsid w:val="68B97345"/>
    <w:rsid w:val="691B1594"/>
    <w:rsid w:val="69894F6A"/>
    <w:rsid w:val="69A50B98"/>
    <w:rsid w:val="69BD5A21"/>
    <w:rsid w:val="69D07E4D"/>
    <w:rsid w:val="6ABE6E95"/>
    <w:rsid w:val="6ACE22AC"/>
    <w:rsid w:val="6C354F35"/>
    <w:rsid w:val="6CBF6EF4"/>
    <w:rsid w:val="6CE74C15"/>
    <w:rsid w:val="6E6C6C08"/>
    <w:rsid w:val="6F0508B3"/>
    <w:rsid w:val="6F0D6C22"/>
    <w:rsid w:val="6F187D41"/>
    <w:rsid w:val="6F2D6397"/>
    <w:rsid w:val="6F502086"/>
    <w:rsid w:val="6F96218E"/>
    <w:rsid w:val="6FB727D4"/>
    <w:rsid w:val="6FD57E76"/>
    <w:rsid w:val="6FF06988"/>
    <w:rsid w:val="700D23D9"/>
    <w:rsid w:val="701D0F21"/>
    <w:rsid w:val="70400B93"/>
    <w:rsid w:val="70453BB5"/>
    <w:rsid w:val="71801FA8"/>
    <w:rsid w:val="719E6EDD"/>
    <w:rsid w:val="726C5429"/>
    <w:rsid w:val="727646A3"/>
    <w:rsid w:val="72B05F6E"/>
    <w:rsid w:val="72E16BE2"/>
    <w:rsid w:val="73F727AA"/>
    <w:rsid w:val="74370315"/>
    <w:rsid w:val="745F5557"/>
    <w:rsid w:val="74B60DFD"/>
    <w:rsid w:val="75864A53"/>
    <w:rsid w:val="76593F16"/>
    <w:rsid w:val="767C19B2"/>
    <w:rsid w:val="76A809F9"/>
    <w:rsid w:val="76C21ABB"/>
    <w:rsid w:val="76D2301A"/>
    <w:rsid w:val="76D60049"/>
    <w:rsid w:val="774329A8"/>
    <w:rsid w:val="77861774"/>
    <w:rsid w:val="77C253BD"/>
    <w:rsid w:val="784A1D68"/>
    <w:rsid w:val="78540E39"/>
    <w:rsid w:val="78782D79"/>
    <w:rsid w:val="78D74515"/>
    <w:rsid w:val="78E71CAD"/>
    <w:rsid w:val="79300B45"/>
    <w:rsid w:val="79A060E3"/>
    <w:rsid w:val="79A17504"/>
    <w:rsid w:val="79E03938"/>
    <w:rsid w:val="79FF3433"/>
    <w:rsid w:val="7AB73395"/>
    <w:rsid w:val="7B686778"/>
    <w:rsid w:val="7BAE1980"/>
    <w:rsid w:val="7BCE4A5E"/>
    <w:rsid w:val="7BE129E3"/>
    <w:rsid w:val="7BF73FB5"/>
    <w:rsid w:val="7E617414"/>
    <w:rsid w:val="7E677403"/>
    <w:rsid w:val="7EA4030F"/>
    <w:rsid w:val="7EEB3B79"/>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3"/>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26</Pages>
  <Words>13161</Words>
  <Characters>13692</Characters>
  <Lines>71</Lines>
  <Paragraphs>20</Paragraphs>
  <TotalTime>0</TotalTime>
  <ScaleCrop>false</ScaleCrop>
  <LinksUpToDate>false</LinksUpToDate>
  <CharactersWithSpaces>13709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szpeng_1</cp:lastModifiedBy>
  <dcterms:modified xsi:type="dcterms:W3CDTF">2025-09-23T08:58:40Z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BDB72F589A64458BA2654DE95035C986_13</vt:lpwstr>
  </property>
  <property fmtid="{D5CDD505-2E9C-101B-9397-08002B2CF9AE}" pid="4" name="KSOTemplateDocerSaveRecord">
    <vt:lpwstr>eyJoZGlkIjoiMzEwNTM5NzYwMDRjMzkwZTVkZjY2ODkwMGIxNGU0OTUiLCJ1c2VySWQiOiIzMjM1MjU0MDMifQ==</vt:lpwstr>
  </property>
</Properties>
</file>